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B20F" w14:textId="77777777" w:rsidR="00426815" w:rsidRPr="00B8159D" w:rsidRDefault="00426815" w:rsidP="00F06C8C">
      <w:pPr>
        <w:spacing w:after="0" w:line="240" w:lineRule="auto"/>
        <w:rPr>
          <w:rFonts w:cstheme="minorHAnsi"/>
          <w:b/>
          <w:bCs/>
          <w:sz w:val="24"/>
          <w:szCs w:val="24"/>
          <w:lang w:val="en-US"/>
        </w:rPr>
      </w:pPr>
    </w:p>
    <w:p w14:paraId="2052E21E" w14:textId="4871B91D" w:rsidR="00F726A1" w:rsidRDefault="00F726A1" w:rsidP="006B57AB">
      <w:pPr>
        <w:spacing w:after="0" w:line="240" w:lineRule="auto"/>
        <w:jc w:val="center"/>
        <w:rPr>
          <w:rFonts w:cstheme="minorHAnsi"/>
          <w:b/>
          <w:bCs/>
          <w:sz w:val="24"/>
          <w:szCs w:val="24"/>
        </w:rPr>
      </w:pPr>
      <w:r w:rsidRPr="006912C2">
        <w:rPr>
          <w:rFonts w:cstheme="minorHAnsi"/>
          <w:b/>
          <w:bCs/>
          <w:sz w:val="24"/>
          <w:szCs w:val="24"/>
        </w:rPr>
        <w:t xml:space="preserve">Joint submission by </w:t>
      </w:r>
      <w:r w:rsidR="00024D56">
        <w:rPr>
          <w:rFonts w:cstheme="minorHAnsi"/>
          <w:b/>
          <w:bCs/>
          <w:sz w:val="24"/>
          <w:szCs w:val="24"/>
        </w:rPr>
        <w:t>AGE Platform Europe, HelpAge International, The Law in the Service of the Elderly and the National Association of Community Legal Centres Australia</w:t>
      </w:r>
      <w:r w:rsidR="00BB4BD4">
        <w:rPr>
          <w:rFonts w:cstheme="minorHAnsi"/>
          <w:b/>
          <w:bCs/>
          <w:sz w:val="24"/>
          <w:szCs w:val="24"/>
        </w:rPr>
        <w:t>.</w:t>
      </w:r>
      <w:r w:rsidR="00E41A88" w:rsidRPr="006912C2">
        <w:rPr>
          <w:rStyle w:val="FootnoteReference"/>
          <w:rFonts w:cstheme="minorHAnsi"/>
          <w:b/>
          <w:bCs/>
          <w:sz w:val="24"/>
          <w:szCs w:val="24"/>
        </w:rPr>
        <w:footnoteReference w:id="1"/>
      </w:r>
    </w:p>
    <w:p w14:paraId="1019FCBF" w14:textId="77777777" w:rsidR="00F06C8C" w:rsidRPr="006912C2" w:rsidRDefault="00F06C8C" w:rsidP="00F06C8C">
      <w:pPr>
        <w:spacing w:after="0" w:line="240" w:lineRule="auto"/>
        <w:rPr>
          <w:rFonts w:cstheme="minorHAnsi"/>
          <w:b/>
          <w:bCs/>
          <w:sz w:val="24"/>
          <w:szCs w:val="24"/>
        </w:rPr>
      </w:pPr>
    </w:p>
    <w:p w14:paraId="4D001C68" w14:textId="5BB9E020" w:rsidR="001A3BD4" w:rsidRPr="006912C2" w:rsidRDefault="001A3BD4" w:rsidP="00F06C8C">
      <w:pPr>
        <w:spacing w:after="0" w:line="240" w:lineRule="auto"/>
        <w:jc w:val="center"/>
        <w:rPr>
          <w:rFonts w:cstheme="minorHAnsi"/>
          <w:b/>
          <w:bCs/>
          <w:sz w:val="24"/>
          <w:szCs w:val="24"/>
        </w:rPr>
      </w:pPr>
      <w:r w:rsidRPr="006912C2">
        <w:rPr>
          <w:rFonts w:cstheme="minorHAnsi"/>
          <w:b/>
          <w:bCs/>
          <w:sz w:val="24"/>
          <w:szCs w:val="24"/>
        </w:rPr>
        <w:t>Open-</w:t>
      </w:r>
      <w:r w:rsidR="00D37DF1" w:rsidRPr="006912C2">
        <w:rPr>
          <w:rFonts w:cstheme="minorHAnsi"/>
          <w:b/>
          <w:bCs/>
          <w:sz w:val="24"/>
          <w:szCs w:val="24"/>
        </w:rPr>
        <w:t>e</w:t>
      </w:r>
      <w:r w:rsidR="00DE4CA0" w:rsidRPr="006912C2">
        <w:rPr>
          <w:rFonts w:cstheme="minorHAnsi"/>
          <w:b/>
          <w:bCs/>
          <w:sz w:val="24"/>
          <w:szCs w:val="24"/>
        </w:rPr>
        <w:t xml:space="preserve">nded Working Group </w:t>
      </w:r>
      <w:r w:rsidR="004961B6">
        <w:rPr>
          <w:rFonts w:cstheme="minorHAnsi"/>
          <w:b/>
          <w:bCs/>
          <w:sz w:val="24"/>
          <w:szCs w:val="24"/>
        </w:rPr>
        <w:t>o</w:t>
      </w:r>
      <w:r w:rsidR="00DE4CA0" w:rsidRPr="006912C2">
        <w:rPr>
          <w:rFonts w:cstheme="minorHAnsi"/>
          <w:b/>
          <w:bCs/>
          <w:sz w:val="24"/>
          <w:szCs w:val="24"/>
        </w:rPr>
        <w:t xml:space="preserve">n Ageing, </w:t>
      </w:r>
      <w:r w:rsidR="00D3276E" w:rsidRPr="006912C2">
        <w:rPr>
          <w:rFonts w:cstheme="minorHAnsi"/>
          <w:b/>
          <w:bCs/>
          <w:sz w:val="24"/>
          <w:szCs w:val="24"/>
        </w:rPr>
        <w:t>10</w:t>
      </w:r>
      <w:r w:rsidRPr="006912C2">
        <w:rPr>
          <w:rFonts w:cstheme="minorHAnsi"/>
          <w:b/>
          <w:bCs/>
          <w:sz w:val="24"/>
          <w:szCs w:val="24"/>
          <w:vertAlign w:val="superscript"/>
        </w:rPr>
        <w:t>th</w:t>
      </w:r>
      <w:r w:rsidR="00DE4CA0" w:rsidRPr="006912C2">
        <w:rPr>
          <w:rFonts w:cstheme="minorHAnsi"/>
          <w:b/>
          <w:bCs/>
          <w:sz w:val="24"/>
          <w:szCs w:val="24"/>
        </w:rPr>
        <w:t xml:space="preserve"> Working Session, </w:t>
      </w:r>
      <w:r w:rsidR="00D3276E" w:rsidRPr="006912C2">
        <w:rPr>
          <w:rFonts w:cstheme="minorHAnsi"/>
          <w:b/>
          <w:bCs/>
          <w:sz w:val="24"/>
          <w:szCs w:val="24"/>
        </w:rPr>
        <w:t>15-18 April 2019</w:t>
      </w:r>
    </w:p>
    <w:p w14:paraId="06936E46" w14:textId="77777777" w:rsidR="001A3BD4" w:rsidRPr="006912C2" w:rsidRDefault="001A3BD4" w:rsidP="00F06C8C">
      <w:pPr>
        <w:spacing w:after="0" w:line="240" w:lineRule="auto"/>
        <w:jc w:val="center"/>
        <w:rPr>
          <w:rFonts w:cstheme="minorHAnsi"/>
          <w:b/>
          <w:bCs/>
          <w:sz w:val="24"/>
          <w:szCs w:val="24"/>
        </w:rPr>
      </w:pPr>
    </w:p>
    <w:p w14:paraId="553A13C6" w14:textId="667DA9F3" w:rsidR="007954AF" w:rsidRPr="006912C2" w:rsidRDefault="0075354D" w:rsidP="00F06C8C">
      <w:pPr>
        <w:spacing w:after="0" w:line="240" w:lineRule="auto"/>
        <w:jc w:val="center"/>
        <w:rPr>
          <w:rFonts w:cstheme="minorHAnsi"/>
          <w:b/>
          <w:bCs/>
          <w:sz w:val="24"/>
          <w:szCs w:val="24"/>
          <w:u w:val="single"/>
        </w:rPr>
      </w:pPr>
      <w:r w:rsidRPr="006912C2">
        <w:rPr>
          <w:rFonts w:cstheme="minorHAnsi"/>
          <w:b/>
          <w:sz w:val="24"/>
          <w:szCs w:val="24"/>
          <w:u w:val="single"/>
        </w:rPr>
        <w:t xml:space="preserve">Education, </w:t>
      </w:r>
      <w:r w:rsidR="00497B06" w:rsidRPr="006912C2">
        <w:rPr>
          <w:rFonts w:cstheme="minorHAnsi"/>
          <w:b/>
          <w:sz w:val="24"/>
          <w:szCs w:val="24"/>
          <w:u w:val="single"/>
        </w:rPr>
        <w:t xml:space="preserve">training, lifelong learning, </w:t>
      </w:r>
      <w:r w:rsidRPr="006912C2">
        <w:rPr>
          <w:rFonts w:cstheme="minorHAnsi"/>
          <w:b/>
          <w:sz w:val="24"/>
          <w:szCs w:val="24"/>
          <w:u w:val="single"/>
        </w:rPr>
        <w:t>and capacity building</w:t>
      </w:r>
    </w:p>
    <w:p w14:paraId="15210E33" w14:textId="77777777" w:rsidR="00FE6027" w:rsidRDefault="00FE6027" w:rsidP="00F06C8C">
      <w:pPr>
        <w:spacing w:after="0" w:line="240" w:lineRule="auto"/>
        <w:rPr>
          <w:rFonts w:cstheme="minorHAnsi"/>
          <w:b/>
          <w:bCs/>
          <w:sz w:val="24"/>
          <w:szCs w:val="24"/>
        </w:rPr>
      </w:pPr>
    </w:p>
    <w:p w14:paraId="3AF02C5C" w14:textId="6A568B0B" w:rsidR="00AE2F73" w:rsidRPr="006912C2" w:rsidRDefault="00BB7774" w:rsidP="00F06C8C">
      <w:pPr>
        <w:spacing w:after="0" w:line="240" w:lineRule="auto"/>
        <w:rPr>
          <w:rFonts w:cstheme="minorHAnsi"/>
          <w:bCs/>
          <w:sz w:val="24"/>
          <w:szCs w:val="24"/>
        </w:rPr>
      </w:pPr>
      <w:bookmarkStart w:id="0" w:name="_GoBack"/>
      <w:bookmarkEnd w:id="0"/>
      <w:r w:rsidRPr="006912C2">
        <w:rPr>
          <w:rFonts w:cstheme="minorHAnsi"/>
          <w:b/>
          <w:bCs/>
          <w:sz w:val="24"/>
          <w:szCs w:val="24"/>
        </w:rPr>
        <w:t>Authors</w:t>
      </w:r>
    </w:p>
    <w:p w14:paraId="4ECBC51B" w14:textId="4696F7D4" w:rsidR="00DA5FE9" w:rsidRPr="006912C2" w:rsidRDefault="006377F3" w:rsidP="00F06C8C">
      <w:pPr>
        <w:spacing w:after="0" w:line="240" w:lineRule="auto"/>
        <w:rPr>
          <w:rFonts w:cstheme="minorHAnsi"/>
          <w:bCs/>
          <w:sz w:val="24"/>
          <w:szCs w:val="24"/>
        </w:rPr>
      </w:pPr>
      <w:r w:rsidRPr="006912C2">
        <w:rPr>
          <w:rFonts w:cstheme="minorHAnsi"/>
          <w:bCs/>
          <w:sz w:val="24"/>
          <w:szCs w:val="24"/>
        </w:rPr>
        <w:t>T</w:t>
      </w:r>
      <w:r w:rsidR="00F726A1" w:rsidRPr="006912C2">
        <w:rPr>
          <w:rFonts w:cstheme="minorHAnsi"/>
          <w:bCs/>
          <w:sz w:val="24"/>
          <w:szCs w:val="24"/>
        </w:rPr>
        <w:t>his joint submission</w:t>
      </w:r>
      <w:r w:rsidRPr="006912C2">
        <w:rPr>
          <w:rFonts w:cstheme="minorHAnsi"/>
          <w:bCs/>
          <w:sz w:val="24"/>
          <w:szCs w:val="24"/>
        </w:rPr>
        <w:t xml:space="preserve"> is </w:t>
      </w:r>
      <w:r w:rsidR="0014775A" w:rsidRPr="006912C2">
        <w:rPr>
          <w:rFonts w:cstheme="minorHAnsi"/>
          <w:bCs/>
          <w:sz w:val="24"/>
          <w:szCs w:val="24"/>
        </w:rPr>
        <w:t xml:space="preserve">authored </w:t>
      </w:r>
      <w:r w:rsidRPr="006912C2">
        <w:rPr>
          <w:rFonts w:cstheme="minorHAnsi"/>
          <w:bCs/>
          <w:sz w:val="24"/>
          <w:szCs w:val="24"/>
        </w:rPr>
        <w:t xml:space="preserve">by </w:t>
      </w:r>
      <w:r w:rsidR="00DE4CA0" w:rsidRPr="006912C2">
        <w:rPr>
          <w:rFonts w:cstheme="minorHAnsi"/>
          <w:sz w:val="24"/>
          <w:szCs w:val="24"/>
        </w:rPr>
        <w:t>Robin Allen (Cloisters), Andrew Byrnes (</w:t>
      </w:r>
      <w:r w:rsidR="00750046" w:rsidRPr="006912C2">
        <w:rPr>
          <w:rFonts w:cstheme="minorHAnsi"/>
          <w:sz w:val="24"/>
          <w:szCs w:val="24"/>
        </w:rPr>
        <w:t>Australian Human Rights Institute, Faculty of Law, University of New South Wales</w:t>
      </w:r>
      <w:r w:rsidR="00DE4CA0" w:rsidRPr="006912C2">
        <w:rPr>
          <w:rFonts w:cstheme="minorHAnsi"/>
          <w:sz w:val="24"/>
          <w:szCs w:val="24"/>
        </w:rPr>
        <w:t xml:space="preserve">), Israel (Issi) Doron (University of Haifa), Nena Georgantzi (AGE Platform Europe / National University of Ireland Galway), Bill Mitchell (National Association of Community Legal Centres, Australia) and Bridget Sleap (HelpAge International). </w:t>
      </w:r>
      <w:r w:rsidR="00DA5FE9" w:rsidRPr="006912C2">
        <w:rPr>
          <w:rFonts w:cstheme="minorHAnsi"/>
          <w:sz w:val="24"/>
          <w:szCs w:val="24"/>
        </w:rPr>
        <w:t>Our views do not necessarily reflect the broad and consensual positions of the organisations we represent, which will be submitted separately.</w:t>
      </w:r>
    </w:p>
    <w:p w14:paraId="32900295" w14:textId="77777777" w:rsidR="00DA5FE9" w:rsidRPr="006912C2" w:rsidRDefault="00DA5FE9" w:rsidP="00F06C8C">
      <w:pPr>
        <w:pStyle w:val="ListParagraph"/>
        <w:spacing w:after="0" w:line="240" w:lineRule="auto"/>
        <w:ind w:left="360"/>
        <w:rPr>
          <w:rFonts w:cstheme="minorHAnsi"/>
          <w:b/>
          <w:bCs/>
          <w:sz w:val="24"/>
          <w:szCs w:val="24"/>
        </w:rPr>
      </w:pPr>
    </w:p>
    <w:p w14:paraId="7065273D" w14:textId="18E81E31" w:rsidR="00AE2F73" w:rsidRPr="006912C2" w:rsidRDefault="008D4C26" w:rsidP="00F06C8C">
      <w:pPr>
        <w:spacing w:after="0" w:line="240" w:lineRule="auto"/>
        <w:rPr>
          <w:rFonts w:cstheme="minorHAnsi"/>
          <w:b/>
          <w:bCs/>
          <w:sz w:val="24"/>
          <w:szCs w:val="24"/>
        </w:rPr>
      </w:pPr>
      <w:r w:rsidRPr="006912C2">
        <w:rPr>
          <w:rFonts w:cstheme="minorHAnsi"/>
          <w:b/>
          <w:bCs/>
          <w:sz w:val="24"/>
          <w:szCs w:val="24"/>
        </w:rPr>
        <w:t>Context</w:t>
      </w:r>
      <w:r w:rsidR="007E08C6" w:rsidRPr="006912C2">
        <w:rPr>
          <w:rFonts w:cstheme="minorHAnsi"/>
          <w:b/>
          <w:bCs/>
          <w:sz w:val="24"/>
          <w:szCs w:val="24"/>
        </w:rPr>
        <w:t xml:space="preserve"> of Response</w:t>
      </w:r>
    </w:p>
    <w:p w14:paraId="15641C00" w14:textId="2CCDFB81" w:rsidR="00C54AA0" w:rsidRPr="006912C2" w:rsidRDefault="006377F3" w:rsidP="00F06C8C">
      <w:pPr>
        <w:spacing w:after="0" w:line="240" w:lineRule="auto"/>
        <w:rPr>
          <w:rStyle w:val="Hyperlink"/>
          <w:rFonts w:cstheme="minorHAnsi"/>
          <w:b/>
          <w:color w:val="auto"/>
          <w:sz w:val="24"/>
          <w:szCs w:val="24"/>
          <w:u w:val="none"/>
        </w:rPr>
      </w:pPr>
      <w:r w:rsidRPr="006912C2">
        <w:rPr>
          <w:rFonts w:cstheme="minorHAnsi"/>
          <w:bCs/>
          <w:sz w:val="24"/>
          <w:szCs w:val="24"/>
        </w:rPr>
        <w:t>This response addresses the guiding questions from a global perspective.</w:t>
      </w:r>
      <w:r w:rsidR="008D4C26" w:rsidRPr="006912C2">
        <w:rPr>
          <w:rFonts w:cstheme="minorHAnsi"/>
          <w:bCs/>
          <w:sz w:val="24"/>
          <w:szCs w:val="24"/>
        </w:rPr>
        <w:t xml:space="preserve"> It </w:t>
      </w:r>
      <w:r w:rsidR="002276E1">
        <w:rPr>
          <w:rFonts w:cstheme="minorHAnsi"/>
          <w:bCs/>
          <w:sz w:val="24"/>
          <w:szCs w:val="24"/>
        </w:rPr>
        <w:t>summarises</w:t>
      </w:r>
      <w:r w:rsidR="008D4C26" w:rsidRPr="006912C2">
        <w:rPr>
          <w:rFonts w:cstheme="minorHAnsi"/>
          <w:bCs/>
          <w:sz w:val="24"/>
          <w:szCs w:val="24"/>
        </w:rPr>
        <w:t xml:space="preserve"> a more comprehensive statement</w:t>
      </w:r>
      <w:r w:rsidR="00BA7720" w:rsidRPr="006912C2">
        <w:rPr>
          <w:rFonts w:cstheme="minorHAnsi"/>
          <w:bCs/>
          <w:sz w:val="24"/>
          <w:szCs w:val="24"/>
        </w:rPr>
        <w:t xml:space="preserve"> </w:t>
      </w:r>
      <w:r w:rsidR="00C54AA0" w:rsidRPr="006912C2">
        <w:rPr>
          <w:rFonts w:cstheme="minorHAnsi"/>
          <w:bCs/>
          <w:sz w:val="24"/>
          <w:szCs w:val="24"/>
        </w:rPr>
        <w:t>which will be</w:t>
      </w:r>
      <w:r w:rsidR="000E3D09" w:rsidRPr="006912C2">
        <w:rPr>
          <w:rFonts w:cstheme="minorHAnsi"/>
          <w:bCs/>
          <w:sz w:val="24"/>
          <w:szCs w:val="24"/>
        </w:rPr>
        <w:t xml:space="preserve"> provided </w:t>
      </w:r>
      <w:r w:rsidR="00D3276E" w:rsidRPr="006912C2">
        <w:rPr>
          <w:rFonts w:cstheme="minorHAnsi"/>
          <w:bCs/>
          <w:sz w:val="24"/>
          <w:szCs w:val="24"/>
        </w:rPr>
        <w:t>to the 10</w:t>
      </w:r>
      <w:r w:rsidR="00BA7720" w:rsidRPr="006912C2">
        <w:rPr>
          <w:rFonts w:cstheme="minorHAnsi"/>
          <w:bCs/>
          <w:sz w:val="24"/>
          <w:szCs w:val="24"/>
          <w:vertAlign w:val="superscript"/>
        </w:rPr>
        <w:t>th</w:t>
      </w:r>
      <w:r w:rsidR="00BA7720" w:rsidRPr="006912C2">
        <w:rPr>
          <w:rFonts w:cstheme="minorHAnsi"/>
          <w:bCs/>
          <w:sz w:val="24"/>
          <w:szCs w:val="24"/>
        </w:rPr>
        <w:t xml:space="preserve"> working session</w:t>
      </w:r>
      <w:r w:rsidR="00DE4CA0" w:rsidRPr="006912C2">
        <w:rPr>
          <w:rFonts w:cstheme="minorHAnsi"/>
          <w:bCs/>
          <w:sz w:val="24"/>
          <w:szCs w:val="24"/>
        </w:rPr>
        <w:t>.</w:t>
      </w:r>
    </w:p>
    <w:p w14:paraId="166C8BE1" w14:textId="6810B3F5" w:rsidR="00DE4CA0" w:rsidRPr="006912C2" w:rsidRDefault="00DE4CA0" w:rsidP="00F06C8C">
      <w:pPr>
        <w:pStyle w:val="NoSpacing"/>
        <w:rPr>
          <w:rFonts w:cstheme="minorHAnsi"/>
          <w:b/>
          <w:sz w:val="24"/>
          <w:szCs w:val="24"/>
          <w:lang w:val="en-GB"/>
        </w:rPr>
      </w:pPr>
    </w:p>
    <w:p w14:paraId="6F3052A7" w14:textId="0449C670" w:rsidR="00CA51DE" w:rsidRPr="006912C2" w:rsidRDefault="00D3276E" w:rsidP="00F06C8C">
      <w:pPr>
        <w:pStyle w:val="NoSpacing"/>
        <w:rPr>
          <w:rFonts w:cstheme="minorHAnsi"/>
          <w:b/>
          <w:sz w:val="24"/>
          <w:szCs w:val="24"/>
          <w:lang w:val="en-GB"/>
        </w:rPr>
      </w:pPr>
      <w:r w:rsidRPr="006912C2">
        <w:rPr>
          <w:rFonts w:cstheme="minorHAnsi"/>
          <w:b/>
          <w:sz w:val="24"/>
          <w:szCs w:val="24"/>
          <w:lang w:val="en-GB"/>
        </w:rPr>
        <w:t>Question 1: International legal framework</w:t>
      </w:r>
    </w:p>
    <w:p w14:paraId="28218112" w14:textId="21761421" w:rsidR="006912C2" w:rsidRDefault="006912C2" w:rsidP="00F06C8C">
      <w:pPr>
        <w:spacing w:after="0" w:line="240" w:lineRule="auto"/>
        <w:rPr>
          <w:rFonts w:cstheme="minorHAnsi"/>
          <w:sz w:val="24"/>
          <w:szCs w:val="24"/>
        </w:rPr>
      </w:pPr>
      <w:r w:rsidRPr="006912C2">
        <w:rPr>
          <w:rFonts w:cstheme="minorHAnsi"/>
          <w:sz w:val="24"/>
          <w:szCs w:val="24"/>
        </w:rPr>
        <w:t xml:space="preserve">Despite </w:t>
      </w:r>
      <w:r w:rsidR="006B4F56" w:rsidRPr="006912C2">
        <w:rPr>
          <w:rFonts w:cstheme="minorHAnsi"/>
          <w:sz w:val="24"/>
          <w:szCs w:val="24"/>
        </w:rPr>
        <w:t>provisions on the right to education</w:t>
      </w:r>
      <w:r w:rsidR="007F3FBE">
        <w:rPr>
          <w:rFonts w:cstheme="minorHAnsi"/>
          <w:sz w:val="24"/>
          <w:szCs w:val="24"/>
        </w:rPr>
        <w:t>,</w:t>
      </w:r>
      <w:r w:rsidR="007E5F38">
        <w:rPr>
          <w:rStyle w:val="FootnoteReference"/>
          <w:rFonts w:cstheme="minorHAnsi"/>
          <w:sz w:val="24"/>
          <w:szCs w:val="24"/>
        </w:rPr>
        <w:footnoteReference w:id="2"/>
      </w:r>
      <w:r w:rsidR="006B4F56" w:rsidRPr="006912C2">
        <w:rPr>
          <w:rFonts w:cstheme="minorHAnsi"/>
          <w:sz w:val="24"/>
          <w:szCs w:val="24"/>
        </w:rPr>
        <w:t xml:space="preserve"> there are unique disadvantages and aspects of the right in older age which are not adequately provided f</w:t>
      </w:r>
      <w:r w:rsidRPr="006912C2">
        <w:rPr>
          <w:rFonts w:cstheme="minorHAnsi"/>
          <w:sz w:val="24"/>
          <w:szCs w:val="24"/>
        </w:rPr>
        <w:t xml:space="preserve">or in existing human rights law. </w:t>
      </w:r>
    </w:p>
    <w:p w14:paraId="3796B3A4" w14:textId="77777777" w:rsidR="006912C2" w:rsidRDefault="006912C2" w:rsidP="00F06C8C">
      <w:pPr>
        <w:spacing w:after="0" w:line="240" w:lineRule="auto"/>
        <w:rPr>
          <w:rFonts w:cstheme="minorHAnsi"/>
          <w:sz w:val="24"/>
          <w:szCs w:val="24"/>
        </w:rPr>
      </w:pPr>
    </w:p>
    <w:p w14:paraId="3A6DC550" w14:textId="28614B69" w:rsidR="006912C2" w:rsidRPr="006912C2" w:rsidRDefault="006912C2" w:rsidP="00F06C8C">
      <w:pPr>
        <w:spacing w:after="0" w:line="240" w:lineRule="auto"/>
        <w:rPr>
          <w:rFonts w:cstheme="minorHAnsi"/>
          <w:color w:val="C00000"/>
          <w:sz w:val="24"/>
          <w:szCs w:val="24"/>
        </w:rPr>
      </w:pPr>
      <w:r w:rsidRPr="006912C2">
        <w:rPr>
          <w:rFonts w:cstheme="minorHAnsi"/>
          <w:sz w:val="24"/>
          <w:szCs w:val="24"/>
        </w:rPr>
        <w:t xml:space="preserve">International human rights standards are needed on older persons’ right to lifelong learning and education on an equal basis with others and without discrimination, so they can live autonomous and independent lives, fulfil their aspirations, build their skills and capacities, develop their full human potential and sense of dignity and self-worth, and participate fully in society. </w:t>
      </w:r>
    </w:p>
    <w:p w14:paraId="203770E5" w14:textId="77777777" w:rsidR="006912C2" w:rsidRPr="006912C2" w:rsidRDefault="006912C2" w:rsidP="00F06C8C">
      <w:pPr>
        <w:spacing w:after="0" w:line="240" w:lineRule="auto"/>
        <w:rPr>
          <w:rFonts w:cstheme="minorHAnsi"/>
          <w:sz w:val="24"/>
          <w:szCs w:val="24"/>
        </w:rPr>
      </w:pPr>
    </w:p>
    <w:p w14:paraId="09F2CB13" w14:textId="77777777" w:rsidR="006912C2" w:rsidRPr="006912C2" w:rsidRDefault="006912C2" w:rsidP="00F06C8C">
      <w:pPr>
        <w:spacing w:after="0" w:line="240" w:lineRule="auto"/>
        <w:rPr>
          <w:rFonts w:cstheme="minorHAnsi"/>
          <w:b/>
          <w:sz w:val="24"/>
          <w:szCs w:val="24"/>
        </w:rPr>
      </w:pPr>
      <w:r w:rsidRPr="006912C2">
        <w:rPr>
          <w:rFonts w:cstheme="minorHAnsi"/>
          <w:b/>
          <w:sz w:val="24"/>
          <w:szCs w:val="24"/>
        </w:rPr>
        <w:t>Scope of the right</w:t>
      </w:r>
    </w:p>
    <w:p w14:paraId="42654F20" w14:textId="77777777" w:rsidR="006912C2" w:rsidRPr="006912C2" w:rsidRDefault="006912C2" w:rsidP="00F06C8C">
      <w:pPr>
        <w:pStyle w:val="ListParagraph"/>
        <w:numPr>
          <w:ilvl w:val="0"/>
          <w:numId w:val="35"/>
        </w:numPr>
        <w:spacing w:after="0" w:line="240" w:lineRule="auto"/>
        <w:rPr>
          <w:rFonts w:cstheme="minorHAnsi"/>
          <w:sz w:val="24"/>
          <w:szCs w:val="24"/>
        </w:rPr>
      </w:pPr>
      <w:r w:rsidRPr="006912C2">
        <w:rPr>
          <w:rFonts w:cstheme="minorHAnsi"/>
          <w:sz w:val="24"/>
          <w:szCs w:val="24"/>
        </w:rPr>
        <w:t>The right shall cover all forms of learning and education, including but not limited to tertiary education, vocational training and retraining, digital education, adult education, informal, recreational and community-based education, lifelong learning programs, and skills training in literacy, numeracy and technological competencies.</w:t>
      </w:r>
    </w:p>
    <w:p w14:paraId="43995372" w14:textId="77777777" w:rsidR="006912C2" w:rsidRPr="006912C2" w:rsidRDefault="006912C2" w:rsidP="00F06C8C">
      <w:pPr>
        <w:spacing w:after="0" w:line="240" w:lineRule="auto"/>
        <w:rPr>
          <w:rFonts w:cstheme="minorHAnsi"/>
          <w:sz w:val="24"/>
          <w:szCs w:val="24"/>
        </w:rPr>
      </w:pPr>
    </w:p>
    <w:p w14:paraId="6C230791" w14:textId="77777777" w:rsidR="006912C2" w:rsidRPr="006912C2" w:rsidRDefault="006912C2" w:rsidP="00F06C8C">
      <w:pPr>
        <w:spacing w:after="0" w:line="240" w:lineRule="auto"/>
        <w:rPr>
          <w:rFonts w:cstheme="minorHAnsi"/>
          <w:b/>
          <w:sz w:val="24"/>
          <w:szCs w:val="24"/>
        </w:rPr>
      </w:pPr>
      <w:r w:rsidRPr="006912C2">
        <w:rPr>
          <w:rFonts w:cstheme="minorHAnsi"/>
          <w:b/>
          <w:sz w:val="24"/>
          <w:szCs w:val="24"/>
        </w:rPr>
        <w:t>Non-discrimination and equality</w:t>
      </w:r>
    </w:p>
    <w:p w14:paraId="16E626A3" w14:textId="77777777" w:rsidR="006912C2" w:rsidRPr="006912C2" w:rsidRDefault="006912C2" w:rsidP="00F06C8C">
      <w:pPr>
        <w:pStyle w:val="ListParagraph"/>
        <w:numPr>
          <w:ilvl w:val="0"/>
          <w:numId w:val="35"/>
        </w:numPr>
        <w:spacing w:after="0" w:line="240" w:lineRule="auto"/>
        <w:rPr>
          <w:rFonts w:cstheme="minorHAnsi"/>
          <w:b/>
          <w:sz w:val="24"/>
          <w:szCs w:val="24"/>
        </w:rPr>
      </w:pPr>
      <w:r w:rsidRPr="006912C2">
        <w:rPr>
          <w:rFonts w:cstheme="minorHAnsi"/>
          <w:sz w:val="24"/>
          <w:szCs w:val="24"/>
        </w:rPr>
        <w:t>Older people have the right to equal access to opportunities for all forms learning and levels of education without discrimination based on age or any other factor.</w:t>
      </w:r>
    </w:p>
    <w:p w14:paraId="1664F07E" w14:textId="77777777" w:rsidR="006912C2" w:rsidRPr="006912C2" w:rsidRDefault="006912C2" w:rsidP="00F06C8C">
      <w:pPr>
        <w:pStyle w:val="ListParagraph"/>
        <w:numPr>
          <w:ilvl w:val="0"/>
          <w:numId w:val="35"/>
        </w:numPr>
        <w:spacing w:after="0" w:line="240" w:lineRule="auto"/>
        <w:rPr>
          <w:rFonts w:cstheme="minorHAnsi"/>
          <w:sz w:val="24"/>
          <w:szCs w:val="24"/>
        </w:rPr>
      </w:pPr>
      <w:r w:rsidRPr="006912C2">
        <w:rPr>
          <w:rFonts w:cstheme="minorHAnsi"/>
          <w:sz w:val="24"/>
          <w:szCs w:val="24"/>
        </w:rPr>
        <w:t xml:space="preserve">Older people have the right to equal access to digital learning and education platforms without discrimination based on age. </w:t>
      </w:r>
    </w:p>
    <w:p w14:paraId="396ACADF" w14:textId="77777777" w:rsidR="006912C2" w:rsidRPr="006912C2" w:rsidRDefault="006912C2" w:rsidP="00F06C8C">
      <w:pPr>
        <w:pStyle w:val="ListParagraph"/>
        <w:numPr>
          <w:ilvl w:val="0"/>
          <w:numId w:val="35"/>
        </w:numPr>
        <w:spacing w:after="0" w:line="240" w:lineRule="auto"/>
        <w:rPr>
          <w:rFonts w:cstheme="minorHAnsi"/>
          <w:sz w:val="24"/>
          <w:szCs w:val="24"/>
        </w:rPr>
      </w:pPr>
      <w:r w:rsidRPr="006912C2">
        <w:rPr>
          <w:rFonts w:cstheme="minorHAnsi"/>
          <w:sz w:val="24"/>
          <w:szCs w:val="24"/>
        </w:rPr>
        <w:t>States shall take steps to eliminate negative ageist stereotypes and prejudices about older people’s ability to learn.</w:t>
      </w:r>
    </w:p>
    <w:p w14:paraId="50F59039" w14:textId="758CD65D" w:rsidR="006912C2" w:rsidRDefault="006912C2" w:rsidP="00F06C8C">
      <w:pPr>
        <w:pStyle w:val="ListParagraph"/>
        <w:numPr>
          <w:ilvl w:val="0"/>
          <w:numId w:val="35"/>
        </w:numPr>
        <w:spacing w:after="0" w:line="240" w:lineRule="auto"/>
        <w:rPr>
          <w:rFonts w:cstheme="minorHAnsi"/>
          <w:sz w:val="24"/>
          <w:szCs w:val="24"/>
        </w:rPr>
      </w:pPr>
      <w:r w:rsidRPr="006912C2">
        <w:rPr>
          <w:rFonts w:cstheme="minorHAnsi"/>
          <w:sz w:val="24"/>
          <w:szCs w:val="24"/>
        </w:rPr>
        <w:t xml:space="preserve">Older people have the right to the same opportunities as others to benefit from scholarships and other educational or study grants. </w:t>
      </w:r>
    </w:p>
    <w:p w14:paraId="3708B09C" w14:textId="5D32EED9" w:rsidR="000E7CF9" w:rsidRDefault="000E7CF9" w:rsidP="00F06C8C">
      <w:pPr>
        <w:pStyle w:val="ListParagraph"/>
        <w:numPr>
          <w:ilvl w:val="0"/>
          <w:numId w:val="35"/>
        </w:numPr>
        <w:spacing w:after="0" w:line="240" w:lineRule="auto"/>
        <w:rPr>
          <w:rFonts w:cstheme="minorHAnsi"/>
          <w:sz w:val="24"/>
          <w:szCs w:val="24"/>
        </w:rPr>
      </w:pPr>
      <w:r>
        <w:rPr>
          <w:rFonts w:cstheme="minorHAnsi"/>
          <w:sz w:val="24"/>
          <w:szCs w:val="24"/>
        </w:rPr>
        <w:lastRenderedPageBreak/>
        <w:t>Older people have the right to participate in the decision</w:t>
      </w:r>
      <w:r w:rsidR="00024D56">
        <w:rPr>
          <w:rFonts w:cstheme="minorHAnsi"/>
          <w:sz w:val="24"/>
          <w:szCs w:val="24"/>
        </w:rPr>
        <w:t>-</w:t>
      </w:r>
      <w:r>
        <w:rPr>
          <w:rFonts w:cstheme="minorHAnsi"/>
          <w:sz w:val="24"/>
          <w:szCs w:val="24"/>
        </w:rPr>
        <w:t>making processes regarding the shape and content of learning and educational programs aimed at older adults.</w:t>
      </w:r>
    </w:p>
    <w:p w14:paraId="1E78FDD0" w14:textId="1A8566F0" w:rsidR="000E7CF9" w:rsidRPr="006912C2" w:rsidRDefault="000E7CF9" w:rsidP="00F06C8C">
      <w:pPr>
        <w:pStyle w:val="ListParagraph"/>
        <w:numPr>
          <w:ilvl w:val="0"/>
          <w:numId w:val="35"/>
        </w:numPr>
        <w:spacing w:after="0" w:line="240" w:lineRule="auto"/>
        <w:rPr>
          <w:rFonts w:cstheme="minorHAnsi"/>
          <w:sz w:val="24"/>
          <w:szCs w:val="24"/>
        </w:rPr>
      </w:pPr>
      <w:r>
        <w:rPr>
          <w:rFonts w:cstheme="minorHAnsi"/>
          <w:sz w:val="24"/>
          <w:szCs w:val="24"/>
        </w:rPr>
        <w:t xml:space="preserve">Older people have the right to participate as teachers and sources of knowledge and wisdom in </w:t>
      </w:r>
      <w:r w:rsidR="0015713D">
        <w:rPr>
          <w:rFonts w:cstheme="minorHAnsi"/>
          <w:sz w:val="24"/>
          <w:szCs w:val="24"/>
        </w:rPr>
        <w:t>learning</w:t>
      </w:r>
      <w:r>
        <w:rPr>
          <w:rFonts w:cstheme="minorHAnsi"/>
          <w:sz w:val="24"/>
          <w:szCs w:val="24"/>
        </w:rPr>
        <w:t xml:space="preserve"> and educational programs for all generations</w:t>
      </w:r>
      <w:r w:rsidR="00024D56">
        <w:rPr>
          <w:rFonts w:cstheme="minorHAnsi"/>
          <w:sz w:val="24"/>
          <w:szCs w:val="24"/>
        </w:rPr>
        <w:t>.</w:t>
      </w:r>
    </w:p>
    <w:p w14:paraId="6FCC2716" w14:textId="77777777" w:rsidR="004961B6" w:rsidRDefault="004961B6" w:rsidP="00F06C8C">
      <w:pPr>
        <w:spacing w:after="0" w:line="240" w:lineRule="auto"/>
        <w:rPr>
          <w:rFonts w:cstheme="minorHAnsi"/>
          <w:b/>
          <w:sz w:val="24"/>
          <w:szCs w:val="24"/>
        </w:rPr>
      </w:pPr>
    </w:p>
    <w:p w14:paraId="6A78950E" w14:textId="04D80F35" w:rsidR="006912C2" w:rsidRPr="006912C2" w:rsidRDefault="006912C2" w:rsidP="00F06C8C">
      <w:pPr>
        <w:spacing w:after="0" w:line="240" w:lineRule="auto"/>
        <w:rPr>
          <w:rFonts w:cstheme="minorHAnsi"/>
          <w:b/>
          <w:sz w:val="24"/>
          <w:szCs w:val="24"/>
        </w:rPr>
      </w:pPr>
      <w:r w:rsidRPr="006912C2">
        <w:rPr>
          <w:rFonts w:cstheme="minorHAnsi"/>
          <w:b/>
          <w:sz w:val="24"/>
          <w:szCs w:val="24"/>
        </w:rPr>
        <w:t>Accessibility</w:t>
      </w:r>
    </w:p>
    <w:p w14:paraId="2EFB30B3" w14:textId="77777777" w:rsidR="006912C2" w:rsidRPr="006912C2" w:rsidRDefault="006912C2" w:rsidP="00F06C8C">
      <w:pPr>
        <w:pStyle w:val="ListParagraph"/>
        <w:numPr>
          <w:ilvl w:val="0"/>
          <w:numId w:val="34"/>
        </w:numPr>
        <w:spacing w:after="0" w:line="240" w:lineRule="auto"/>
        <w:rPr>
          <w:rFonts w:cstheme="minorHAnsi"/>
          <w:sz w:val="24"/>
          <w:szCs w:val="24"/>
        </w:rPr>
      </w:pPr>
      <w:r w:rsidRPr="006912C2">
        <w:rPr>
          <w:rFonts w:cstheme="minorHAnsi"/>
          <w:sz w:val="24"/>
          <w:szCs w:val="24"/>
        </w:rPr>
        <w:t>Older people have the right to affordable lifelong learning and education opportunities that fit their needs, preferences, skills, motivations, and diverse identities.</w:t>
      </w:r>
    </w:p>
    <w:p w14:paraId="75880B1B" w14:textId="77777777" w:rsidR="006912C2" w:rsidRPr="006912C2" w:rsidRDefault="006912C2" w:rsidP="00F06C8C">
      <w:pPr>
        <w:pStyle w:val="ListParagraph"/>
        <w:numPr>
          <w:ilvl w:val="0"/>
          <w:numId w:val="34"/>
        </w:numPr>
        <w:spacing w:after="0" w:line="240" w:lineRule="auto"/>
        <w:rPr>
          <w:rFonts w:cstheme="minorHAnsi"/>
          <w:sz w:val="24"/>
          <w:szCs w:val="24"/>
        </w:rPr>
      </w:pPr>
      <w:r w:rsidRPr="006912C2">
        <w:rPr>
          <w:rFonts w:cstheme="minorHAnsi"/>
          <w:sz w:val="24"/>
          <w:szCs w:val="24"/>
        </w:rPr>
        <w:t xml:space="preserve">Older people have the right to lifelong learning and education opportunities in settings that are accessible to them including in their communities and in care and support settings.  </w:t>
      </w:r>
    </w:p>
    <w:p w14:paraId="7F1F00F8" w14:textId="77777777" w:rsidR="006912C2" w:rsidRPr="006912C2" w:rsidRDefault="006912C2" w:rsidP="00F06C8C">
      <w:pPr>
        <w:spacing w:after="0" w:line="240" w:lineRule="auto"/>
        <w:rPr>
          <w:rFonts w:cstheme="minorHAnsi"/>
          <w:sz w:val="24"/>
          <w:szCs w:val="24"/>
        </w:rPr>
      </w:pPr>
    </w:p>
    <w:p w14:paraId="6375152A" w14:textId="77777777" w:rsidR="006912C2" w:rsidRPr="006912C2" w:rsidRDefault="006912C2" w:rsidP="00F06C8C">
      <w:pPr>
        <w:spacing w:after="0" w:line="240" w:lineRule="auto"/>
        <w:rPr>
          <w:rFonts w:cstheme="minorHAnsi"/>
          <w:b/>
          <w:sz w:val="24"/>
          <w:szCs w:val="24"/>
        </w:rPr>
      </w:pPr>
      <w:r w:rsidRPr="006912C2">
        <w:rPr>
          <w:rFonts w:cstheme="minorHAnsi"/>
          <w:b/>
          <w:sz w:val="24"/>
          <w:szCs w:val="24"/>
        </w:rPr>
        <w:t>Availability</w:t>
      </w:r>
    </w:p>
    <w:p w14:paraId="1DB9DBD4" w14:textId="77777777" w:rsidR="006912C2" w:rsidRPr="006912C2" w:rsidRDefault="006912C2" w:rsidP="00F06C8C">
      <w:pPr>
        <w:pStyle w:val="ListParagraph"/>
        <w:numPr>
          <w:ilvl w:val="0"/>
          <w:numId w:val="37"/>
        </w:numPr>
        <w:spacing w:after="0" w:line="240" w:lineRule="auto"/>
        <w:rPr>
          <w:rFonts w:cstheme="minorHAnsi"/>
          <w:sz w:val="24"/>
          <w:szCs w:val="24"/>
        </w:rPr>
      </w:pPr>
      <w:r w:rsidRPr="006912C2">
        <w:rPr>
          <w:rFonts w:cstheme="minorHAnsi"/>
          <w:sz w:val="24"/>
          <w:szCs w:val="24"/>
        </w:rPr>
        <w:t>Older people have the right to equal access to opportunities of lifelong learning and education available to the general public and to learning opportunities adapted to their specific needs, skills, motivations, preferences and diverse identities.</w:t>
      </w:r>
    </w:p>
    <w:p w14:paraId="7E33193F" w14:textId="77777777" w:rsidR="006912C2" w:rsidRPr="006912C2" w:rsidRDefault="006912C2" w:rsidP="00F06C8C">
      <w:pPr>
        <w:spacing w:after="0" w:line="240" w:lineRule="auto"/>
        <w:rPr>
          <w:rFonts w:cstheme="minorHAnsi"/>
          <w:sz w:val="24"/>
          <w:szCs w:val="24"/>
        </w:rPr>
      </w:pPr>
    </w:p>
    <w:p w14:paraId="095C7FCC" w14:textId="77777777" w:rsidR="006912C2" w:rsidRPr="006912C2" w:rsidRDefault="006912C2" w:rsidP="00F06C8C">
      <w:pPr>
        <w:spacing w:after="0" w:line="240" w:lineRule="auto"/>
        <w:rPr>
          <w:rFonts w:cstheme="minorHAnsi"/>
          <w:b/>
          <w:sz w:val="24"/>
          <w:szCs w:val="24"/>
        </w:rPr>
      </w:pPr>
      <w:r w:rsidRPr="006912C2">
        <w:rPr>
          <w:rFonts w:cstheme="minorHAnsi"/>
          <w:b/>
          <w:sz w:val="24"/>
          <w:szCs w:val="24"/>
        </w:rPr>
        <w:t xml:space="preserve">Acceptability </w:t>
      </w:r>
    </w:p>
    <w:p w14:paraId="3C9F7CF7" w14:textId="77777777" w:rsidR="006912C2" w:rsidRPr="006912C2" w:rsidRDefault="006912C2" w:rsidP="00F06C8C">
      <w:pPr>
        <w:pStyle w:val="ListParagraph"/>
        <w:numPr>
          <w:ilvl w:val="0"/>
          <w:numId w:val="34"/>
        </w:numPr>
        <w:spacing w:after="0" w:line="240" w:lineRule="auto"/>
        <w:rPr>
          <w:rFonts w:cstheme="minorHAnsi"/>
          <w:sz w:val="24"/>
          <w:szCs w:val="24"/>
        </w:rPr>
      </w:pPr>
      <w:r w:rsidRPr="006912C2">
        <w:rPr>
          <w:rFonts w:cstheme="minorHAnsi"/>
          <w:sz w:val="24"/>
          <w:szCs w:val="24"/>
        </w:rPr>
        <w:t>Older people have the right to appropriate and acceptable lifelong learning and education opportunities that fit their needs, preferences, skills, motivations, and diverse identities.</w:t>
      </w:r>
    </w:p>
    <w:p w14:paraId="3FEEEAE8" w14:textId="3DD6F312" w:rsidR="006912C2" w:rsidRPr="006912C2" w:rsidRDefault="006912C2" w:rsidP="00F06C8C">
      <w:pPr>
        <w:pStyle w:val="ListParagraph"/>
        <w:numPr>
          <w:ilvl w:val="0"/>
          <w:numId w:val="34"/>
        </w:numPr>
        <w:spacing w:after="0" w:line="240" w:lineRule="auto"/>
        <w:rPr>
          <w:rFonts w:cstheme="minorHAnsi"/>
          <w:sz w:val="24"/>
          <w:szCs w:val="24"/>
        </w:rPr>
      </w:pPr>
      <w:r w:rsidRPr="006912C2">
        <w:rPr>
          <w:rFonts w:cstheme="minorHAnsi"/>
          <w:sz w:val="24"/>
          <w:szCs w:val="24"/>
        </w:rPr>
        <w:t>Older people have the right to learning and educational materials in an appropriate, accessible and acceptable format.</w:t>
      </w:r>
    </w:p>
    <w:p w14:paraId="481A1FEA" w14:textId="77777777" w:rsidR="006912C2" w:rsidRPr="006912C2" w:rsidRDefault="006912C2" w:rsidP="00F06C8C">
      <w:pPr>
        <w:spacing w:after="0" w:line="240" w:lineRule="auto"/>
        <w:rPr>
          <w:rFonts w:cstheme="minorHAnsi"/>
          <w:b/>
          <w:sz w:val="24"/>
          <w:szCs w:val="24"/>
        </w:rPr>
      </w:pPr>
    </w:p>
    <w:p w14:paraId="4BB6ADAF" w14:textId="7A37C1FE" w:rsidR="006912C2" w:rsidRPr="006912C2" w:rsidRDefault="006912C2" w:rsidP="00F06C8C">
      <w:pPr>
        <w:spacing w:after="0" w:line="240" w:lineRule="auto"/>
        <w:rPr>
          <w:rFonts w:cstheme="minorHAnsi"/>
          <w:b/>
          <w:sz w:val="24"/>
          <w:szCs w:val="24"/>
        </w:rPr>
      </w:pPr>
      <w:r w:rsidRPr="006912C2">
        <w:rPr>
          <w:rFonts w:cstheme="minorHAnsi"/>
          <w:b/>
          <w:sz w:val="24"/>
          <w:szCs w:val="24"/>
        </w:rPr>
        <w:t>Remedies and redress</w:t>
      </w:r>
    </w:p>
    <w:p w14:paraId="3A31DF87" w14:textId="77777777" w:rsidR="006912C2" w:rsidRPr="006912C2" w:rsidRDefault="006912C2" w:rsidP="00F06C8C">
      <w:pPr>
        <w:pStyle w:val="ListParagraph"/>
        <w:numPr>
          <w:ilvl w:val="0"/>
          <w:numId w:val="36"/>
        </w:numPr>
        <w:spacing w:after="0" w:line="240" w:lineRule="auto"/>
        <w:rPr>
          <w:rFonts w:cstheme="minorHAnsi"/>
          <w:sz w:val="24"/>
          <w:szCs w:val="24"/>
        </w:rPr>
      </w:pPr>
      <w:r w:rsidRPr="006912C2">
        <w:rPr>
          <w:rFonts w:cstheme="minorHAnsi"/>
          <w:sz w:val="24"/>
          <w:szCs w:val="24"/>
        </w:rPr>
        <w:t>Safeguards must be in place to protect against breaches of the right to lifelong learning and education, including breaches of privacy and security of data on digital and online learning platforms.</w:t>
      </w:r>
    </w:p>
    <w:p w14:paraId="2659066D" w14:textId="77777777" w:rsidR="006912C2" w:rsidRPr="006912C2" w:rsidRDefault="006912C2" w:rsidP="00F06C8C">
      <w:pPr>
        <w:pStyle w:val="ListParagraph"/>
        <w:numPr>
          <w:ilvl w:val="0"/>
          <w:numId w:val="36"/>
        </w:numPr>
        <w:spacing w:after="0" w:line="240" w:lineRule="auto"/>
        <w:rPr>
          <w:rFonts w:cstheme="minorHAnsi"/>
          <w:sz w:val="24"/>
          <w:szCs w:val="24"/>
        </w:rPr>
      </w:pPr>
      <w:r w:rsidRPr="006912C2">
        <w:rPr>
          <w:rFonts w:cstheme="minorHAnsi"/>
          <w:sz w:val="24"/>
          <w:szCs w:val="24"/>
        </w:rPr>
        <w:t xml:space="preserve">Older people have the right to accessible legal information. </w:t>
      </w:r>
    </w:p>
    <w:p w14:paraId="405848E8" w14:textId="77777777" w:rsidR="006912C2" w:rsidRPr="006912C2" w:rsidRDefault="006912C2" w:rsidP="00F06C8C">
      <w:pPr>
        <w:pStyle w:val="ListParagraph"/>
        <w:numPr>
          <w:ilvl w:val="0"/>
          <w:numId w:val="36"/>
        </w:numPr>
        <w:spacing w:after="0" w:line="240" w:lineRule="auto"/>
        <w:rPr>
          <w:rFonts w:cstheme="minorHAnsi"/>
          <w:sz w:val="24"/>
          <w:szCs w:val="24"/>
        </w:rPr>
      </w:pPr>
      <w:r w:rsidRPr="006912C2">
        <w:rPr>
          <w:rFonts w:cstheme="minorHAnsi"/>
          <w:sz w:val="24"/>
          <w:szCs w:val="24"/>
        </w:rPr>
        <w:t xml:space="preserve">Older people have the right to accountability mechanisms that provide for remedies and redress when their rights are violated. </w:t>
      </w:r>
    </w:p>
    <w:p w14:paraId="0D23D0B7" w14:textId="502F476B" w:rsidR="006B4F56" w:rsidRPr="006912C2" w:rsidRDefault="006B4F56" w:rsidP="00F06C8C">
      <w:pPr>
        <w:spacing w:after="0" w:line="240" w:lineRule="auto"/>
        <w:rPr>
          <w:rFonts w:cstheme="minorHAnsi"/>
          <w:b/>
          <w:sz w:val="24"/>
          <w:szCs w:val="24"/>
        </w:rPr>
      </w:pPr>
    </w:p>
    <w:p w14:paraId="3BE4D765" w14:textId="33304CAC" w:rsidR="00C80FEF" w:rsidRPr="006912C2" w:rsidRDefault="00C80FEF" w:rsidP="00F06C8C">
      <w:pPr>
        <w:spacing w:after="0" w:line="240" w:lineRule="auto"/>
        <w:rPr>
          <w:rFonts w:cstheme="minorHAnsi"/>
          <w:sz w:val="24"/>
          <w:szCs w:val="24"/>
        </w:rPr>
      </w:pPr>
      <w:r w:rsidRPr="006912C2">
        <w:rPr>
          <w:rFonts w:cstheme="minorHAnsi"/>
          <w:b/>
          <w:sz w:val="24"/>
          <w:szCs w:val="24"/>
        </w:rPr>
        <w:t>Question 2</w:t>
      </w:r>
      <w:r w:rsidR="000E3D09" w:rsidRPr="006912C2">
        <w:rPr>
          <w:rFonts w:cstheme="minorHAnsi"/>
          <w:b/>
          <w:sz w:val="24"/>
          <w:szCs w:val="24"/>
        </w:rPr>
        <w:t xml:space="preserve">: </w:t>
      </w:r>
      <w:r w:rsidR="00497B06" w:rsidRPr="006912C2">
        <w:rPr>
          <w:rFonts w:cstheme="minorHAnsi"/>
          <w:b/>
          <w:sz w:val="24"/>
          <w:szCs w:val="24"/>
        </w:rPr>
        <w:t xml:space="preserve">Challenges </w:t>
      </w:r>
      <w:r w:rsidR="006B4F56" w:rsidRPr="006912C2">
        <w:rPr>
          <w:rFonts w:cstheme="minorHAnsi"/>
          <w:b/>
          <w:sz w:val="24"/>
          <w:szCs w:val="24"/>
        </w:rPr>
        <w:t>in availability, accessibility and adaptability</w:t>
      </w:r>
    </w:p>
    <w:p w14:paraId="6179C7C7" w14:textId="43821D63" w:rsidR="00497B06" w:rsidRPr="006912C2" w:rsidRDefault="006B4F56" w:rsidP="00F06C8C">
      <w:pPr>
        <w:spacing w:after="0" w:line="240" w:lineRule="auto"/>
        <w:rPr>
          <w:rFonts w:cstheme="minorHAnsi"/>
          <w:sz w:val="24"/>
          <w:szCs w:val="24"/>
        </w:rPr>
      </w:pPr>
      <w:r w:rsidRPr="006912C2">
        <w:rPr>
          <w:rFonts w:cstheme="minorHAnsi"/>
          <w:sz w:val="24"/>
          <w:szCs w:val="24"/>
        </w:rPr>
        <w:t>Older persons face a range of challenges to the enjoyment of their right to education, including:</w:t>
      </w:r>
    </w:p>
    <w:p w14:paraId="0CDE8D35" w14:textId="77777777" w:rsidR="006B4F56" w:rsidRPr="006912C2" w:rsidRDefault="00497B06" w:rsidP="00F06C8C">
      <w:pPr>
        <w:pStyle w:val="ListParagraph"/>
        <w:numPr>
          <w:ilvl w:val="0"/>
          <w:numId w:val="32"/>
        </w:numPr>
        <w:spacing w:after="0" w:line="240" w:lineRule="auto"/>
        <w:rPr>
          <w:rFonts w:cstheme="minorHAnsi"/>
          <w:sz w:val="24"/>
          <w:szCs w:val="24"/>
        </w:rPr>
      </w:pPr>
      <w:r w:rsidRPr="006912C2">
        <w:rPr>
          <w:rFonts w:cstheme="minorHAnsi"/>
          <w:sz w:val="24"/>
          <w:szCs w:val="24"/>
        </w:rPr>
        <w:t>Lack of availability of learning opportunities adapted to the preferences and learning needs of older persons, for example prison rehabilitation programmes tend to cater for younger offenders in terms of skills training and education and release programmes may not address the resettlement challenges older prisoners may face.</w:t>
      </w:r>
      <w:r w:rsidRPr="006912C2">
        <w:rPr>
          <w:rStyle w:val="FootnoteReference"/>
          <w:rFonts w:cstheme="minorHAnsi"/>
          <w:sz w:val="24"/>
          <w:szCs w:val="24"/>
        </w:rPr>
        <w:footnoteReference w:id="3"/>
      </w:r>
    </w:p>
    <w:p w14:paraId="1AF2AAEB" w14:textId="3D3713EF" w:rsidR="00497B06" w:rsidRPr="006912C2" w:rsidRDefault="00497B06" w:rsidP="00F06C8C">
      <w:pPr>
        <w:pStyle w:val="ListParagraph"/>
        <w:numPr>
          <w:ilvl w:val="0"/>
          <w:numId w:val="32"/>
        </w:numPr>
        <w:spacing w:after="0" w:line="240" w:lineRule="auto"/>
        <w:rPr>
          <w:rFonts w:cstheme="minorHAnsi"/>
          <w:sz w:val="24"/>
          <w:szCs w:val="24"/>
        </w:rPr>
      </w:pPr>
      <w:r w:rsidRPr="006912C2">
        <w:rPr>
          <w:rFonts w:cstheme="minorHAnsi"/>
          <w:sz w:val="24"/>
          <w:szCs w:val="24"/>
        </w:rPr>
        <w:t>Information not available in formats accessible to older persons</w:t>
      </w:r>
    </w:p>
    <w:p w14:paraId="1B0D1BAA" w14:textId="77777777" w:rsidR="006B4F56" w:rsidRPr="006912C2"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Limited access to education, training and learning opportunities for older persons in care and support settings</w:t>
      </w:r>
    </w:p>
    <w:p w14:paraId="60EB1615" w14:textId="77777777" w:rsidR="006B4F56" w:rsidRPr="006912C2"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Unequal access to digital education, including e-textbooks, mobile learning, online learning and technology-enhanced learning, due to interfaces that do not allow for difference in vision, hearing and dexterity, unaffordable technologies or lack of access to digital skills training</w:t>
      </w:r>
      <w:r w:rsidRPr="006912C2">
        <w:rPr>
          <w:rStyle w:val="FootnoteReference"/>
          <w:rFonts w:cstheme="minorHAnsi"/>
          <w:sz w:val="24"/>
          <w:szCs w:val="24"/>
        </w:rPr>
        <w:footnoteReference w:id="4"/>
      </w:r>
    </w:p>
    <w:p w14:paraId="05048FCB" w14:textId="7EBF480B" w:rsidR="006B4F56" w:rsidRPr="006912C2"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Limited access to legal information and how to access legal and other complaint-making proceedings.</w:t>
      </w:r>
      <w:r w:rsidRPr="006912C2">
        <w:rPr>
          <w:rStyle w:val="FootnoteReference"/>
          <w:rFonts w:cstheme="minorHAnsi"/>
          <w:sz w:val="24"/>
          <w:szCs w:val="24"/>
        </w:rPr>
        <w:footnoteReference w:id="5"/>
      </w:r>
      <w:r w:rsidRPr="006912C2">
        <w:rPr>
          <w:rFonts w:cstheme="minorHAnsi"/>
          <w:sz w:val="24"/>
          <w:szCs w:val="24"/>
        </w:rPr>
        <w:t xml:space="preserve"> </w:t>
      </w:r>
    </w:p>
    <w:p w14:paraId="42F308A4" w14:textId="618F4AA3" w:rsidR="00497B06" w:rsidRPr="006912C2" w:rsidRDefault="00497B06" w:rsidP="00F06C8C">
      <w:pPr>
        <w:pStyle w:val="ListParagraph"/>
        <w:numPr>
          <w:ilvl w:val="0"/>
          <w:numId w:val="32"/>
        </w:numPr>
        <w:spacing w:after="0" w:line="240" w:lineRule="auto"/>
        <w:rPr>
          <w:rFonts w:cstheme="minorHAnsi"/>
          <w:sz w:val="24"/>
          <w:szCs w:val="24"/>
        </w:rPr>
      </w:pPr>
      <w:r w:rsidRPr="006912C2">
        <w:rPr>
          <w:rFonts w:cstheme="minorHAnsi"/>
          <w:sz w:val="24"/>
          <w:szCs w:val="24"/>
        </w:rPr>
        <w:t>Unaffordable cost of education, training or skills building courses and associated costs such as transport</w:t>
      </w:r>
    </w:p>
    <w:p w14:paraId="4FCD2B5B" w14:textId="1700C442" w:rsidR="00F06C8C" w:rsidRDefault="00F06C8C" w:rsidP="00F06C8C">
      <w:pPr>
        <w:spacing w:after="0" w:line="240" w:lineRule="auto"/>
        <w:rPr>
          <w:rFonts w:cstheme="minorHAnsi"/>
          <w:b/>
          <w:sz w:val="24"/>
          <w:szCs w:val="24"/>
        </w:rPr>
      </w:pPr>
    </w:p>
    <w:p w14:paraId="3277EAF8" w14:textId="26100644" w:rsidR="000E3D09" w:rsidRPr="006912C2" w:rsidRDefault="006B4F56" w:rsidP="00F06C8C">
      <w:pPr>
        <w:spacing w:after="0" w:line="240" w:lineRule="auto"/>
        <w:rPr>
          <w:rFonts w:cstheme="minorHAnsi"/>
          <w:b/>
          <w:sz w:val="24"/>
          <w:szCs w:val="24"/>
        </w:rPr>
      </w:pPr>
      <w:r w:rsidRPr="006912C2">
        <w:rPr>
          <w:rFonts w:cstheme="minorHAnsi"/>
          <w:b/>
          <w:sz w:val="24"/>
          <w:szCs w:val="24"/>
        </w:rPr>
        <w:t>Question 5: Equality and non-discrimination</w:t>
      </w:r>
    </w:p>
    <w:p w14:paraId="6402F998" w14:textId="65376CDA" w:rsidR="006B4F56" w:rsidRPr="006912C2" w:rsidRDefault="006B4F56" w:rsidP="00F06C8C">
      <w:pPr>
        <w:spacing w:after="0" w:line="240" w:lineRule="auto"/>
        <w:rPr>
          <w:rFonts w:cstheme="minorHAnsi"/>
          <w:sz w:val="24"/>
          <w:szCs w:val="24"/>
        </w:rPr>
      </w:pPr>
      <w:r w:rsidRPr="006912C2">
        <w:rPr>
          <w:rFonts w:cstheme="minorHAnsi"/>
          <w:sz w:val="24"/>
          <w:szCs w:val="24"/>
        </w:rPr>
        <w:t>Older persons experience ageism and age discrimination in relation to the right to education in different ways, for example:</w:t>
      </w:r>
    </w:p>
    <w:p w14:paraId="1BCE7835" w14:textId="428784EB" w:rsidR="006B4F56" w:rsidRPr="006912C2" w:rsidRDefault="006B4F56" w:rsidP="00F06C8C">
      <w:pPr>
        <w:pStyle w:val="ListParagraph"/>
        <w:numPr>
          <w:ilvl w:val="0"/>
          <w:numId w:val="33"/>
        </w:numPr>
        <w:spacing w:after="0" w:line="240" w:lineRule="auto"/>
        <w:rPr>
          <w:rFonts w:cstheme="minorHAnsi"/>
          <w:sz w:val="24"/>
          <w:szCs w:val="24"/>
        </w:rPr>
      </w:pPr>
      <w:r w:rsidRPr="006912C2">
        <w:rPr>
          <w:rFonts w:cstheme="minorHAnsi"/>
          <w:sz w:val="24"/>
          <w:szCs w:val="24"/>
        </w:rPr>
        <w:t>Deeply entrenched ageist stereotypes that older persons need not, cannot, and do not wish to, learn</w:t>
      </w:r>
    </w:p>
    <w:p w14:paraId="5AE63C47" w14:textId="77777777" w:rsidR="006B4F56" w:rsidRPr="006912C2"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Age limits in education which are considered lawful under anti-age discrimination legislation</w:t>
      </w:r>
      <w:r w:rsidRPr="006912C2">
        <w:rPr>
          <w:rStyle w:val="FootnoteReference"/>
          <w:rFonts w:cstheme="minorHAnsi"/>
          <w:sz w:val="24"/>
          <w:szCs w:val="24"/>
        </w:rPr>
        <w:footnoteReference w:id="6"/>
      </w:r>
    </w:p>
    <w:p w14:paraId="4DA36462" w14:textId="107A756B" w:rsidR="006B4F56" w:rsidRPr="006912C2"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 xml:space="preserve">Age limits for scholarships </w:t>
      </w:r>
      <w:r w:rsidR="00151E76">
        <w:rPr>
          <w:rFonts w:cstheme="minorHAnsi"/>
          <w:sz w:val="24"/>
          <w:szCs w:val="24"/>
        </w:rPr>
        <w:t xml:space="preserve">and other support instruments </w:t>
      </w:r>
      <w:r w:rsidRPr="006912C2">
        <w:rPr>
          <w:rFonts w:cstheme="minorHAnsi"/>
          <w:sz w:val="24"/>
          <w:szCs w:val="24"/>
        </w:rPr>
        <w:t>which exclude older persons.</w:t>
      </w:r>
      <w:r w:rsidRPr="006912C2">
        <w:rPr>
          <w:rStyle w:val="FootnoteReference"/>
          <w:rFonts w:cstheme="minorHAnsi"/>
          <w:sz w:val="24"/>
          <w:szCs w:val="24"/>
        </w:rPr>
        <w:footnoteReference w:id="7"/>
      </w:r>
    </w:p>
    <w:p w14:paraId="104ECF5B" w14:textId="23A7C270" w:rsidR="006B4F56" w:rsidRPr="006912C2"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Unequal access of older workers to employment training and career development schemes</w:t>
      </w:r>
      <w:r w:rsidRPr="006912C2">
        <w:rPr>
          <w:rStyle w:val="FootnoteReference"/>
          <w:rFonts w:cstheme="minorHAnsi"/>
          <w:sz w:val="24"/>
          <w:szCs w:val="24"/>
        </w:rPr>
        <w:footnoteReference w:id="8"/>
      </w:r>
    </w:p>
    <w:p w14:paraId="6CC093D0" w14:textId="05C8CB1E" w:rsidR="006B4F56" w:rsidRDefault="006B4F56" w:rsidP="00F06C8C">
      <w:pPr>
        <w:pStyle w:val="ListParagraph"/>
        <w:numPr>
          <w:ilvl w:val="0"/>
          <w:numId w:val="32"/>
        </w:numPr>
        <w:spacing w:after="0" w:line="240" w:lineRule="auto"/>
        <w:rPr>
          <w:rFonts w:cstheme="minorHAnsi"/>
          <w:sz w:val="24"/>
          <w:szCs w:val="24"/>
        </w:rPr>
      </w:pPr>
      <w:r w:rsidRPr="006912C2">
        <w:rPr>
          <w:rFonts w:cstheme="minorHAnsi"/>
          <w:sz w:val="24"/>
          <w:szCs w:val="24"/>
        </w:rPr>
        <w:t xml:space="preserve">Funding for further education which </w:t>
      </w:r>
      <w:r w:rsidR="0015713D" w:rsidRPr="006912C2">
        <w:rPr>
          <w:rFonts w:cstheme="minorHAnsi"/>
          <w:sz w:val="24"/>
          <w:szCs w:val="24"/>
        </w:rPr>
        <w:t>prioritises</w:t>
      </w:r>
      <w:r w:rsidRPr="006912C2">
        <w:rPr>
          <w:rFonts w:cstheme="minorHAnsi"/>
          <w:sz w:val="24"/>
          <w:szCs w:val="24"/>
        </w:rPr>
        <w:t xml:space="preserve"> low-level skills and qualifications that are not appropriate for older persons who already have these but need to extend their skills to remain in employment.</w:t>
      </w:r>
      <w:r w:rsidRPr="006912C2">
        <w:rPr>
          <w:rStyle w:val="FootnoteReference"/>
          <w:rFonts w:cstheme="minorHAnsi"/>
          <w:sz w:val="24"/>
          <w:szCs w:val="24"/>
        </w:rPr>
        <w:footnoteReference w:id="9"/>
      </w:r>
    </w:p>
    <w:p w14:paraId="5A69C2FB" w14:textId="6EAEAD27" w:rsidR="00151E76" w:rsidRDefault="00151E76" w:rsidP="00F06C8C">
      <w:pPr>
        <w:pStyle w:val="ListParagraph"/>
        <w:numPr>
          <w:ilvl w:val="0"/>
          <w:numId w:val="32"/>
        </w:numPr>
        <w:spacing w:after="0" w:line="240" w:lineRule="auto"/>
        <w:rPr>
          <w:rFonts w:cstheme="minorHAnsi"/>
          <w:sz w:val="24"/>
          <w:szCs w:val="24"/>
        </w:rPr>
      </w:pPr>
      <w:r>
        <w:rPr>
          <w:rFonts w:cstheme="minorHAnsi"/>
          <w:sz w:val="24"/>
          <w:szCs w:val="24"/>
        </w:rPr>
        <w:t xml:space="preserve">Invisibility and lack of voice in shaping </w:t>
      </w:r>
      <w:r w:rsidR="000E7CF9">
        <w:rPr>
          <w:rFonts w:cstheme="minorHAnsi"/>
          <w:sz w:val="24"/>
          <w:szCs w:val="24"/>
        </w:rPr>
        <w:t xml:space="preserve">and choosing </w:t>
      </w:r>
      <w:r>
        <w:rPr>
          <w:rFonts w:cstheme="minorHAnsi"/>
          <w:sz w:val="24"/>
          <w:szCs w:val="24"/>
        </w:rPr>
        <w:t>the content of education and learning programs aimed at older adults</w:t>
      </w:r>
      <w:r w:rsidR="00024D56">
        <w:rPr>
          <w:rFonts w:cstheme="minorHAnsi"/>
          <w:sz w:val="24"/>
          <w:szCs w:val="24"/>
        </w:rPr>
        <w:t>.</w:t>
      </w:r>
    </w:p>
    <w:p w14:paraId="49369DA2" w14:textId="28C92A8A" w:rsidR="00151E76" w:rsidRPr="006912C2" w:rsidRDefault="00151E76" w:rsidP="00F06C8C">
      <w:pPr>
        <w:pStyle w:val="ListParagraph"/>
        <w:numPr>
          <w:ilvl w:val="0"/>
          <w:numId w:val="32"/>
        </w:numPr>
        <w:spacing w:after="0" w:line="240" w:lineRule="auto"/>
        <w:rPr>
          <w:rFonts w:cstheme="minorHAnsi"/>
          <w:sz w:val="24"/>
          <w:szCs w:val="24"/>
        </w:rPr>
      </w:pPr>
      <w:r>
        <w:rPr>
          <w:rFonts w:cstheme="minorHAnsi"/>
          <w:sz w:val="24"/>
          <w:szCs w:val="24"/>
        </w:rPr>
        <w:t xml:space="preserve">Exclusion and </w:t>
      </w:r>
      <w:r w:rsidR="000E7CF9">
        <w:rPr>
          <w:rFonts w:cstheme="minorHAnsi"/>
          <w:sz w:val="24"/>
          <w:szCs w:val="24"/>
        </w:rPr>
        <w:t>discrimination based on old age in participating in the teaching and managing staff of educational and learning programs for older adults</w:t>
      </w:r>
      <w:r w:rsidR="00024D56">
        <w:rPr>
          <w:rFonts w:cstheme="minorHAnsi"/>
          <w:sz w:val="24"/>
          <w:szCs w:val="24"/>
        </w:rPr>
        <w:t>.</w:t>
      </w:r>
    </w:p>
    <w:p w14:paraId="75DAFA48" w14:textId="77777777" w:rsidR="006B4F56" w:rsidRPr="006912C2" w:rsidRDefault="006B4F56" w:rsidP="00F06C8C">
      <w:pPr>
        <w:pStyle w:val="ListParagraph"/>
        <w:spacing w:after="0" w:line="240" w:lineRule="auto"/>
        <w:rPr>
          <w:rFonts w:cstheme="minorHAnsi"/>
          <w:sz w:val="24"/>
          <w:szCs w:val="24"/>
        </w:rPr>
      </w:pPr>
    </w:p>
    <w:p w14:paraId="3777DB5B" w14:textId="6F833EA7" w:rsidR="00E41A88" w:rsidRPr="006912C2" w:rsidRDefault="00E41A88" w:rsidP="00F06C8C">
      <w:pPr>
        <w:spacing w:after="0" w:line="240" w:lineRule="auto"/>
        <w:rPr>
          <w:rFonts w:cstheme="minorHAnsi"/>
          <w:sz w:val="24"/>
          <w:szCs w:val="24"/>
        </w:rPr>
      </w:pPr>
    </w:p>
    <w:sectPr w:rsidR="00E41A88" w:rsidRPr="006912C2" w:rsidSect="00F06C8C">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8852" w14:textId="77777777" w:rsidR="006407E5" w:rsidRDefault="006407E5" w:rsidP="008B7908">
      <w:pPr>
        <w:spacing w:after="0" w:line="240" w:lineRule="auto"/>
      </w:pPr>
      <w:r>
        <w:separator/>
      </w:r>
    </w:p>
  </w:endnote>
  <w:endnote w:type="continuationSeparator" w:id="0">
    <w:p w14:paraId="1A425000" w14:textId="77777777" w:rsidR="006407E5" w:rsidRDefault="006407E5" w:rsidP="008B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E8BA" w14:textId="77777777" w:rsidR="00106978" w:rsidRDefault="00106978" w:rsidP="00F96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D26EC" w14:textId="77777777" w:rsidR="00106978" w:rsidRDefault="00106978" w:rsidP="00106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9169" w14:textId="092D2A41" w:rsidR="00106978" w:rsidRPr="00106978" w:rsidRDefault="00106978" w:rsidP="00F965B4">
    <w:pPr>
      <w:pStyle w:val="Footer"/>
      <w:framePr w:wrap="around" w:vAnchor="text" w:hAnchor="margin" w:xAlign="right" w:y="1"/>
      <w:rPr>
        <w:rStyle w:val="PageNumber"/>
        <w:rFonts w:ascii="Times New Roman" w:hAnsi="Times New Roman" w:cs="Times New Roman"/>
        <w:sz w:val="20"/>
        <w:szCs w:val="20"/>
      </w:rPr>
    </w:pPr>
    <w:r w:rsidRPr="00106978">
      <w:rPr>
        <w:rStyle w:val="PageNumber"/>
        <w:rFonts w:ascii="Times New Roman" w:hAnsi="Times New Roman" w:cs="Times New Roman"/>
        <w:sz w:val="20"/>
        <w:szCs w:val="20"/>
      </w:rPr>
      <w:fldChar w:fldCharType="begin"/>
    </w:r>
    <w:r w:rsidRPr="00106978">
      <w:rPr>
        <w:rStyle w:val="PageNumber"/>
        <w:rFonts w:ascii="Times New Roman" w:hAnsi="Times New Roman" w:cs="Times New Roman"/>
        <w:sz w:val="20"/>
        <w:szCs w:val="20"/>
      </w:rPr>
      <w:instrText xml:space="preserve">PAGE  </w:instrText>
    </w:r>
    <w:r w:rsidRPr="00106978">
      <w:rPr>
        <w:rStyle w:val="PageNumber"/>
        <w:rFonts w:ascii="Times New Roman" w:hAnsi="Times New Roman" w:cs="Times New Roman"/>
        <w:sz w:val="20"/>
        <w:szCs w:val="20"/>
      </w:rPr>
      <w:fldChar w:fldCharType="separate"/>
    </w:r>
    <w:r w:rsidR="00DD34FE">
      <w:rPr>
        <w:rStyle w:val="PageNumber"/>
        <w:rFonts w:ascii="Times New Roman" w:hAnsi="Times New Roman" w:cs="Times New Roman"/>
        <w:noProof/>
        <w:sz w:val="20"/>
        <w:szCs w:val="20"/>
      </w:rPr>
      <w:t>2</w:t>
    </w:r>
    <w:r w:rsidRPr="00106978">
      <w:rPr>
        <w:rStyle w:val="PageNumber"/>
        <w:rFonts w:ascii="Times New Roman" w:hAnsi="Times New Roman" w:cs="Times New Roman"/>
        <w:sz w:val="20"/>
        <w:szCs w:val="20"/>
      </w:rPr>
      <w:fldChar w:fldCharType="end"/>
    </w:r>
  </w:p>
  <w:p w14:paraId="09A13464" w14:textId="77777777" w:rsidR="00106978" w:rsidRDefault="00106978" w:rsidP="001069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9833" w14:textId="77777777" w:rsidR="006407E5" w:rsidRDefault="006407E5" w:rsidP="008B7908">
      <w:pPr>
        <w:spacing w:after="0" w:line="240" w:lineRule="auto"/>
      </w:pPr>
      <w:r>
        <w:separator/>
      </w:r>
    </w:p>
  </w:footnote>
  <w:footnote w:type="continuationSeparator" w:id="0">
    <w:p w14:paraId="073E90A2" w14:textId="77777777" w:rsidR="006407E5" w:rsidRDefault="006407E5" w:rsidP="008B7908">
      <w:pPr>
        <w:spacing w:after="0" w:line="240" w:lineRule="auto"/>
      </w:pPr>
      <w:r>
        <w:continuationSeparator/>
      </w:r>
    </w:p>
  </w:footnote>
  <w:footnote w:id="1">
    <w:p w14:paraId="3D7DEECD" w14:textId="5F4DFD57" w:rsidR="00D20CE0" w:rsidRPr="006C3AF9" w:rsidRDefault="00D20CE0" w:rsidP="006C3AF9">
      <w:pPr>
        <w:pStyle w:val="FootnoteText"/>
        <w:rPr>
          <w:rFonts w:cstheme="minorHAnsi"/>
          <w:sz w:val="18"/>
          <w:szCs w:val="18"/>
          <w:lang w:val="en-US"/>
        </w:rPr>
      </w:pPr>
      <w:r w:rsidRPr="006C3AF9">
        <w:rPr>
          <w:rStyle w:val="FootnoteReference"/>
          <w:rFonts w:cstheme="minorHAnsi"/>
          <w:sz w:val="18"/>
          <w:szCs w:val="18"/>
        </w:rPr>
        <w:t>*</w:t>
      </w:r>
      <w:r w:rsidRPr="006C3AF9">
        <w:rPr>
          <w:rFonts w:cstheme="minorHAnsi"/>
          <w:sz w:val="18"/>
          <w:szCs w:val="18"/>
        </w:rPr>
        <w:t xml:space="preserve"> For further information contact Bridget Sleap </w:t>
      </w:r>
      <w:hyperlink r:id="rId1" w:history="1">
        <w:r w:rsidRPr="006C3AF9">
          <w:rPr>
            <w:rStyle w:val="Hyperlink"/>
            <w:rFonts w:cstheme="minorHAnsi"/>
            <w:sz w:val="18"/>
            <w:szCs w:val="18"/>
          </w:rPr>
          <w:t>bsleap@helpage.org</w:t>
        </w:r>
      </w:hyperlink>
    </w:p>
  </w:footnote>
  <w:footnote w:id="2">
    <w:p w14:paraId="3A9C262D" w14:textId="64A2B2F3" w:rsidR="007E5F38" w:rsidRPr="007E5F38" w:rsidRDefault="007E5F38">
      <w:pPr>
        <w:pStyle w:val="FootnoteText"/>
        <w:rPr>
          <w:sz w:val="18"/>
          <w:szCs w:val="18"/>
          <w:lang w:val="en-US"/>
        </w:rPr>
      </w:pPr>
      <w:r w:rsidRPr="007E5F38">
        <w:rPr>
          <w:rStyle w:val="FootnoteReference"/>
          <w:sz w:val="18"/>
          <w:szCs w:val="18"/>
        </w:rPr>
        <w:footnoteRef/>
      </w:r>
      <w:r w:rsidRPr="007E5F38">
        <w:rPr>
          <w:sz w:val="18"/>
          <w:szCs w:val="18"/>
        </w:rPr>
        <w:t xml:space="preserve"> </w:t>
      </w:r>
      <w:r>
        <w:rPr>
          <w:sz w:val="18"/>
          <w:szCs w:val="18"/>
        </w:rPr>
        <w:t xml:space="preserve">For example, </w:t>
      </w:r>
      <w:r w:rsidRPr="007E5F38">
        <w:rPr>
          <w:sz w:val="18"/>
          <w:szCs w:val="18"/>
        </w:rPr>
        <w:t>UDHR Article 26, ICESCR Article 13, CEDAW Article 10, CRPD Article 24</w:t>
      </w:r>
    </w:p>
  </w:footnote>
  <w:footnote w:id="3">
    <w:p w14:paraId="60804E1F" w14:textId="77777777" w:rsidR="00497B06" w:rsidRDefault="00497B06" w:rsidP="00497B06">
      <w:pPr>
        <w:pStyle w:val="FootnoteText"/>
      </w:pPr>
      <w:r>
        <w:rPr>
          <w:rStyle w:val="FootnoteReference"/>
        </w:rPr>
        <w:footnoteRef/>
      </w:r>
      <w:r>
        <w:t xml:space="preserve"> Sleap, </w:t>
      </w:r>
      <w:r w:rsidRPr="00475B02">
        <w:t>Old age behind bars: how can prisons adapt to the needs of increasingly elderly populations?</w:t>
      </w:r>
      <w:r>
        <w:t xml:space="preserve"> 2014, </w:t>
      </w:r>
      <w:hyperlink r:id="rId2" w:history="1">
        <w:r w:rsidRPr="001E3BF5">
          <w:rPr>
            <w:rStyle w:val="Hyperlink"/>
          </w:rPr>
          <w:t>https://www.penalreform.org/blog/age-bars-prisons-adapt-increasingly-elderly-populations/</w:t>
        </w:r>
      </w:hyperlink>
      <w:r>
        <w:t xml:space="preserve"> </w:t>
      </w:r>
    </w:p>
  </w:footnote>
  <w:footnote w:id="4">
    <w:p w14:paraId="64359843" w14:textId="77777777" w:rsidR="006B4F56" w:rsidRPr="009A19C1" w:rsidRDefault="006B4F56" w:rsidP="006B4F56">
      <w:pPr>
        <w:pStyle w:val="FootnoteText"/>
        <w:rPr>
          <w:sz w:val="18"/>
          <w:szCs w:val="18"/>
        </w:rPr>
      </w:pPr>
      <w:r w:rsidRPr="009A19C1">
        <w:rPr>
          <w:rStyle w:val="FootnoteReference"/>
          <w:sz w:val="18"/>
          <w:szCs w:val="18"/>
        </w:rPr>
        <w:footnoteRef/>
      </w:r>
      <w:r w:rsidRPr="009A19C1">
        <w:rPr>
          <w:sz w:val="18"/>
          <w:szCs w:val="18"/>
        </w:rPr>
        <w:t xml:space="preserve"> Craig Mokhiber, Artificial Intolerance and Digital Dignity: Older Persons, Human Rights and New Technologies for Education, presentation at the International Expert-Conference on Human Rights of Older Persons, Vienna, 13</w:t>
      </w:r>
      <w:r w:rsidRPr="009A19C1">
        <w:rPr>
          <w:sz w:val="18"/>
          <w:szCs w:val="18"/>
          <w:vertAlign w:val="superscript"/>
        </w:rPr>
        <w:t>th</w:t>
      </w:r>
      <w:r w:rsidRPr="009A19C1">
        <w:rPr>
          <w:sz w:val="18"/>
          <w:szCs w:val="18"/>
        </w:rPr>
        <w:t xml:space="preserve"> November 2018, </w:t>
      </w:r>
      <w:hyperlink r:id="rId3" w:history="1">
        <w:r w:rsidRPr="009A19C1">
          <w:rPr>
            <w:rStyle w:val="Hyperlink"/>
            <w:sz w:val="18"/>
            <w:szCs w:val="18"/>
          </w:rPr>
          <w:t>http://www.ageing.at/en/downloads/downloads-day-2-en</w:t>
        </w:r>
      </w:hyperlink>
      <w:r w:rsidRPr="009A19C1">
        <w:rPr>
          <w:sz w:val="18"/>
          <w:szCs w:val="18"/>
        </w:rPr>
        <w:t xml:space="preserve"> </w:t>
      </w:r>
    </w:p>
  </w:footnote>
  <w:footnote w:id="5">
    <w:p w14:paraId="771F1EB9" w14:textId="77777777" w:rsidR="006B4F56" w:rsidRDefault="006B4F56" w:rsidP="006B4F56">
      <w:pPr>
        <w:pStyle w:val="FootnoteText"/>
      </w:pPr>
      <w:r>
        <w:rPr>
          <w:rStyle w:val="FootnoteReference"/>
        </w:rPr>
        <w:footnoteRef/>
      </w:r>
      <w:r>
        <w:t xml:space="preserve"> Edwards and Fontana, </w:t>
      </w:r>
      <w:r>
        <w:rPr>
          <w:i/>
        </w:rPr>
        <w:t>L</w:t>
      </w:r>
      <w:r w:rsidRPr="007B3139">
        <w:rPr>
          <w:i/>
        </w:rPr>
        <w:t>egal Information Needs of Older People</w:t>
      </w:r>
      <w:r>
        <w:t xml:space="preserve">, Law and Justice Foundation of New South Wales, 2004 </w:t>
      </w:r>
      <w:hyperlink r:id="rId4" w:history="1">
        <w:r w:rsidRPr="00DD0879">
          <w:rPr>
            <w:rStyle w:val="Hyperlink"/>
          </w:rPr>
          <w:t>http://www.lawfoundation.net.au/ljf/site/articleIDs/9D9D131462B745E0CA257060007D1408/$file/legal_info_needs_report.pdf</w:t>
        </w:r>
      </w:hyperlink>
      <w:r>
        <w:t xml:space="preserve"> </w:t>
      </w:r>
    </w:p>
  </w:footnote>
  <w:footnote w:id="6">
    <w:p w14:paraId="3A75A209" w14:textId="77777777" w:rsidR="006B4F56" w:rsidRDefault="006B4F56" w:rsidP="006B4F56">
      <w:pPr>
        <w:pStyle w:val="FootnoteText"/>
      </w:pPr>
      <w:r>
        <w:rPr>
          <w:rStyle w:val="FootnoteReference"/>
        </w:rPr>
        <w:footnoteRef/>
      </w:r>
      <w:r>
        <w:t xml:space="preserve"> </w:t>
      </w:r>
      <w:r w:rsidRPr="0045272B">
        <w:t>https://civilrights.findlaw.com/discrimination/age-discrimination-in-education.html</w:t>
      </w:r>
    </w:p>
  </w:footnote>
  <w:footnote w:id="7">
    <w:p w14:paraId="4DD61427" w14:textId="77777777" w:rsidR="006B4F56" w:rsidRDefault="006B4F56" w:rsidP="006B4F56">
      <w:pPr>
        <w:pStyle w:val="FootnoteText"/>
      </w:pPr>
      <w:r>
        <w:rPr>
          <w:rStyle w:val="FootnoteReference"/>
        </w:rPr>
        <w:footnoteRef/>
      </w:r>
      <w:r>
        <w:t xml:space="preserve"> </w:t>
      </w:r>
      <w:hyperlink r:id="rId5" w:history="1">
        <w:r w:rsidRPr="001C795C">
          <w:rPr>
            <w:rStyle w:val="Hyperlink"/>
          </w:rPr>
          <w:t>https://ageing-equal.org/ageism-in-lifelong-learning/</w:t>
        </w:r>
      </w:hyperlink>
      <w:r>
        <w:t xml:space="preserve"> </w:t>
      </w:r>
    </w:p>
  </w:footnote>
  <w:footnote w:id="8">
    <w:p w14:paraId="28CFF0B0" w14:textId="77777777" w:rsidR="006B4F56" w:rsidRPr="009A19C1" w:rsidRDefault="006B4F56" w:rsidP="006B4F56">
      <w:pPr>
        <w:pStyle w:val="FootnoteText"/>
        <w:rPr>
          <w:sz w:val="18"/>
          <w:szCs w:val="18"/>
        </w:rPr>
      </w:pPr>
      <w:r w:rsidRPr="009A19C1">
        <w:rPr>
          <w:rStyle w:val="FootnoteReference"/>
          <w:sz w:val="18"/>
          <w:szCs w:val="18"/>
        </w:rPr>
        <w:footnoteRef/>
      </w:r>
      <w:r w:rsidRPr="009A19C1">
        <w:rPr>
          <w:sz w:val="18"/>
          <w:szCs w:val="18"/>
        </w:rPr>
        <w:t xml:space="preserve"> Alexis Rinckenbach, Lifelong education and digital training for the elderly in France, presentation at the International Expert-Conference on Human Rights of Older Persons, Vienna, 13</w:t>
      </w:r>
      <w:r w:rsidRPr="009A19C1">
        <w:rPr>
          <w:sz w:val="18"/>
          <w:szCs w:val="18"/>
          <w:vertAlign w:val="superscript"/>
        </w:rPr>
        <w:t>th</w:t>
      </w:r>
      <w:r w:rsidRPr="009A19C1">
        <w:rPr>
          <w:sz w:val="18"/>
          <w:szCs w:val="18"/>
        </w:rPr>
        <w:t xml:space="preserve"> November 2018, </w:t>
      </w:r>
      <w:hyperlink r:id="rId6" w:history="1">
        <w:r w:rsidRPr="009A19C1">
          <w:rPr>
            <w:rStyle w:val="Hyperlink"/>
            <w:sz w:val="18"/>
            <w:szCs w:val="18"/>
          </w:rPr>
          <w:t>http://www.ageing.at/en/downloads/downloads-day-2-en</w:t>
        </w:r>
      </w:hyperlink>
      <w:r w:rsidRPr="009A19C1">
        <w:rPr>
          <w:sz w:val="18"/>
          <w:szCs w:val="18"/>
        </w:rPr>
        <w:t xml:space="preserve"> </w:t>
      </w:r>
    </w:p>
  </w:footnote>
  <w:footnote w:id="9">
    <w:p w14:paraId="32F395EA" w14:textId="77777777" w:rsidR="006B4F56" w:rsidRDefault="006B4F56" w:rsidP="006B4F56">
      <w:pPr>
        <w:pStyle w:val="FootnoteText"/>
      </w:pPr>
      <w:r>
        <w:rPr>
          <w:rStyle w:val="FootnoteReference"/>
        </w:rPr>
        <w:footnoteRef/>
      </w:r>
      <w:r>
        <w:t xml:space="preserve"> </w:t>
      </w:r>
      <w:hyperlink r:id="rId7" w:history="1">
        <w:r w:rsidRPr="001E3BF5">
          <w:rPr>
            <w:rStyle w:val="Hyperlink"/>
          </w:rPr>
          <w:t>https://www.theguardian.com/education/2009/jun/09/backtoschool-accesstouniversity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932F" w14:textId="77777777" w:rsidR="003A6C2A" w:rsidRDefault="003A6C2A" w:rsidP="00016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61E42" w14:textId="71AF2DC2" w:rsidR="003A6C2A" w:rsidRDefault="00B75E36" w:rsidP="00F328C5">
    <w:pPr>
      <w:pStyle w:val="Header"/>
      <w:ind w:right="360"/>
    </w:pPr>
    <w:r>
      <w:rPr>
        <w:noProof/>
        <w:lang w:eastAsia="en-GB"/>
      </w:rPr>
      <mc:AlternateContent>
        <mc:Choice Requires="wps">
          <w:drawing>
            <wp:anchor distT="0" distB="0" distL="114300" distR="114300" simplePos="0" relativeHeight="251661312" behindDoc="0" locked="0" layoutInCell="1" allowOverlap="1" wp14:anchorId="12A8A178" wp14:editId="0B3A9EFA">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EB7C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7054" w14:textId="11371248" w:rsidR="003A6C2A" w:rsidRPr="00B75E36" w:rsidRDefault="003A6C2A" w:rsidP="00016569">
    <w:pPr>
      <w:pStyle w:val="Header"/>
      <w:framePr w:wrap="around" w:vAnchor="text" w:hAnchor="margin" w:xAlign="right" w:y="1"/>
      <w:rPr>
        <w:rStyle w:val="PageNumber"/>
        <w:rFonts w:ascii="Times New Roman" w:hAnsi="Times New Roman" w:cs="Times New Roman"/>
      </w:rPr>
    </w:pPr>
    <w:r w:rsidRPr="00B75E36">
      <w:rPr>
        <w:rStyle w:val="PageNumber"/>
        <w:rFonts w:ascii="Times New Roman" w:hAnsi="Times New Roman" w:cs="Times New Roman"/>
      </w:rPr>
      <w:fldChar w:fldCharType="begin"/>
    </w:r>
    <w:r w:rsidRPr="00B75E36">
      <w:rPr>
        <w:rStyle w:val="PageNumber"/>
        <w:rFonts w:ascii="Times New Roman" w:hAnsi="Times New Roman" w:cs="Times New Roman"/>
      </w:rPr>
      <w:instrText xml:space="preserve">PAGE  </w:instrText>
    </w:r>
    <w:r w:rsidRPr="00B75E36">
      <w:rPr>
        <w:rStyle w:val="PageNumber"/>
        <w:rFonts w:ascii="Times New Roman" w:hAnsi="Times New Roman" w:cs="Times New Roman"/>
      </w:rPr>
      <w:fldChar w:fldCharType="separate"/>
    </w:r>
    <w:r w:rsidR="00DD34FE">
      <w:rPr>
        <w:rStyle w:val="PageNumber"/>
        <w:rFonts w:ascii="Times New Roman" w:hAnsi="Times New Roman" w:cs="Times New Roman"/>
        <w:noProof/>
      </w:rPr>
      <w:t>2</w:t>
    </w:r>
    <w:r w:rsidRPr="00B75E36">
      <w:rPr>
        <w:rStyle w:val="PageNumber"/>
        <w:rFonts w:ascii="Times New Roman" w:hAnsi="Times New Roman" w:cs="Times New Roman"/>
      </w:rPr>
      <w:fldChar w:fldCharType="end"/>
    </w:r>
  </w:p>
  <w:p w14:paraId="2A105032" w14:textId="687B57D2" w:rsidR="003A6C2A" w:rsidRDefault="00B75E36" w:rsidP="00F328C5">
    <w:pPr>
      <w:pStyle w:val="Header"/>
      <w:ind w:right="360"/>
    </w:pPr>
    <w:r>
      <w:rPr>
        <w:noProof/>
        <w:lang w:eastAsia="en-GB"/>
      </w:rPr>
      <mc:AlternateContent>
        <mc:Choice Requires="wps">
          <w:drawing>
            <wp:anchor distT="0" distB="0" distL="114300" distR="114300" simplePos="0" relativeHeight="251659264" behindDoc="0" locked="0" layoutInCell="1" allowOverlap="1" wp14:anchorId="0063E9F9" wp14:editId="19B5A51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ADDDEA"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4E64" w14:textId="7C957B46" w:rsidR="003A6C2A" w:rsidRPr="00D37DF1" w:rsidRDefault="001A3BD4">
    <w:pPr>
      <w:pStyle w:val="Header"/>
      <w:rPr>
        <w:rFonts w:cstheme="minorHAnsi"/>
        <w:sz w:val="20"/>
        <w:szCs w:val="20"/>
      </w:rPr>
    </w:pPr>
    <w:r w:rsidRPr="00D37DF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79534A28" wp14:editId="08178A78">
              <wp:simplePos x="0" y="0"/>
              <wp:positionH relativeFrom="column">
                <wp:posOffset>379562</wp:posOffset>
              </wp:positionH>
              <wp:positionV relativeFrom="paragraph">
                <wp:posOffset>8626</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6DDA47" id="_x0000_t202" coordsize="21600,21600" o:spt="202" path="m,l,21600r21600,l21600,xe">
              <v:stroke joinstyle="miter"/>
              <v:path gradientshapeok="t" o:connecttype="rect"/>
            </v:shapetype>
            <v:shape id="WordArt 3" o:spid="_x0000_s1026" type="#_x0000_t202" style="position:absolute;margin-left:29.9pt;margin-top:.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" filled="f" stroked="f">
              <o:lock v:ext="edit" text="t" shapetype="t"/>
            </v:shape>
          </w:pict>
        </mc:Fallback>
      </mc:AlternateContent>
    </w:r>
    <w:r w:rsidR="00D3276E" w:rsidRPr="00D37DF1">
      <w:rPr>
        <w:rFonts w:cstheme="minorHAnsi"/>
        <w:noProof/>
        <w:sz w:val="20"/>
        <w:szCs w:val="20"/>
        <w:lang w:eastAsia="en-GB"/>
      </w:rPr>
      <w:t>February 2019</w:t>
    </w:r>
    <w:r w:rsidRPr="00D37DF1">
      <w:rPr>
        <w:rFonts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29"/>
    <w:multiLevelType w:val="hybridMultilevel"/>
    <w:tmpl w:val="8CC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1CCF"/>
    <w:multiLevelType w:val="hybridMultilevel"/>
    <w:tmpl w:val="ABDC93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30B2C"/>
    <w:multiLevelType w:val="hybridMultilevel"/>
    <w:tmpl w:val="B56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2FD"/>
    <w:multiLevelType w:val="hybridMultilevel"/>
    <w:tmpl w:val="2A5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5257"/>
    <w:multiLevelType w:val="hybridMultilevel"/>
    <w:tmpl w:val="2F7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787E"/>
    <w:multiLevelType w:val="hybridMultilevel"/>
    <w:tmpl w:val="E5E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582"/>
    <w:multiLevelType w:val="hybridMultilevel"/>
    <w:tmpl w:val="19D8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E4AF8"/>
    <w:multiLevelType w:val="hybridMultilevel"/>
    <w:tmpl w:val="911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607FE"/>
    <w:multiLevelType w:val="hybridMultilevel"/>
    <w:tmpl w:val="988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5602C"/>
    <w:multiLevelType w:val="hybridMultilevel"/>
    <w:tmpl w:val="854C50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46697E"/>
    <w:multiLevelType w:val="hybridMultilevel"/>
    <w:tmpl w:val="B8C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C2992"/>
    <w:multiLevelType w:val="hybridMultilevel"/>
    <w:tmpl w:val="F454E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1C10A9"/>
    <w:multiLevelType w:val="hybridMultilevel"/>
    <w:tmpl w:val="4F644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D856CF"/>
    <w:multiLevelType w:val="hybridMultilevel"/>
    <w:tmpl w:val="111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13F11"/>
    <w:multiLevelType w:val="hybridMultilevel"/>
    <w:tmpl w:val="E31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56405"/>
    <w:multiLevelType w:val="hybridMultilevel"/>
    <w:tmpl w:val="E286C4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720D4B"/>
    <w:multiLevelType w:val="hybridMultilevel"/>
    <w:tmpl w:val="3C9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E257E"/>
    <w:multiLevelType w:val="hybridMultilevel"/>
    <w:tmpl w:val="33D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A809E0"/>
    <w:multiLevelType w:val="hybridMultilevel"/>
    <w:tmpl w:val="3C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272C"/>
    <w:multiLevelType w:val="hybridMultilevel"/>
    <w:tmpl w:val="07C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666D8"/>
    <w:multiLevelType w:val="hybridMultilevel"/>
    <w:tmpl w:val="84BE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12ECA"/>
    <w:multiLevelType w:val="hybridMultilevel"/>
    <w:tmpl w:val="6AB63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660AC7"/>
    <w:multiLevelType w:val="hybridMultilevel"/>
    <w:tmpl w:val="695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55851"/>
    <w:multiLevelType w:val="hybridMultilevel"/>
    <w:tmpl w:val="A67EB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2D43B3"/>
    <w:multiLevelType w:val="hybridMultilevel"/>
    <w:tmpl w:val="F53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87A22"/>
    <w:multiLevelType w:val="hybridMultilevel"/>
    <w:tmpl w:val="99666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05956"/>
    <w:multiLevelType w:val="hybridMultilevel"/>
    <w:tmpl w:val="01A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71CAE"/>
    <w:multiLevelType w:val="hybridMultilevel"/>
    <w:tmpl w:val="C8A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11DD3"/>
    <w:multiLevelType w:val="hybridMultilevel"/>
    <w:tmpl w:val="A13A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045557"/>
    <w:multiLevelType w:val="hybridMultilevel"/>
    <w:tmpl w:val="15F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7477A"/>
    <w:multiLevelType w:val="hybridMultilevel"/>
    <w:tmpl w:val="02D2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0622E"/>
    <w:multiLevelType w:val="hybridMultilevel"/>
    <w:tmpl w:val="959C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F51FFB"/>
    <w:multiLevelType w:val="hybridMultilevel"/>
    <w:tmpl w:val="145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4"/>
  </w:num>
  <w:num w:numId="4">
    <w:abstractNumId w:val="23"/>
  </w:num>
  <w:num w:numId="5">
    <w:abstractNumId w:val="31"/>
  </w:num>
  <w:num w:numId="6">
    <w:abstractNumId w:val="35"/>
  </w:num>
  <w:num w:numId="7">
    <w:abstractNumId w:val="25"/>
  </w:num>
  <w:num w:numId="8">
    <w:abstractNumId w:val="16"/>
  </w:num>
  <w:num w:numId="9">
    <w:abstractNumId w:val="20"/>
  </w:num>
  <w:num w:numId="10">
    <w:abstractNumId w:val="27"/>
  </w:num>
  <w:num w:numId="11">
    <w:abstractNumId w:val="3"/>
  </w:num>
  <w:num w:numId="12">
    <w:abstractNumId w:val="19"/>
  </w:num>
  <w:num w:numId="13">
    <w:abstractNumId w:val="29"/>
  </w:num>
  <w:num w:numId="14">
    <w:abstractNumId w:val="24"/>
  </w:num>
  <w:num w:numId="15">
    <w:abstractNumId w:val="28"/>
  </w:num>
  <w:num w:numId="16">
    <w:abstractNumId w:val="8"/>
  </w:num>
  <w:num w:numId="17">
    <w:abstractNumId w:val="2"/>
  </w:num>
  <w:num w:numId="18">
    <w:abstractNumId w:val="17"/>
  </w:num>
  <w:num w:numId="19">
    <w:abstractNumId w:val="30"/>
  </w:num>
  <w:num w:numId="20">
    <w:abstractNumId w:val="1"/>
  </w:num>
  <w:num w:numId="21">
    <w:abstractNumId w:val="6"/>
  </w:num>
  <w:num w:numId="22">
    <w:abstractNumId w:val="0"/>
  </w:num>
  <w:num w:numId="23">
    <w:abstractNumId w:val="9"/>
  </w:num>
  <w:num w:numId="24">
    <w:abstractNumId w:val="11"/>
  </w:num>
  <w:num w:numId="25">
    <w:abstractNumId w:val="15"/>
  </w:num>
  <w:num w:numId="26">
    <w:abstractNumId w:val="32"/>
  </w:num>
  <w:num w:numId="27">
    <w:abstractNumId w:val="13"/>
  </w:num>
  <w:num w:numId="28">
    <w:abstractNumId w:val="36"/>
  </w:num>
  <w:num w:numId="29">
    <w:abstractNumId w:val="21"/>
  </w:num>
  <w:num w:numId="30">
    <w:abstractNumId w:val="18"/>
  </w:num>
  <w:num w:numId="31">
    <w:abstractNumId w:val="14"/>
  </w:num>
  <w:num w:numId="32">
    <w:abstractNumId w:val="33"/>
  </w:num>
  <w:num w:numId="33">
    <w:abstractNumId w:val="26"/>
  </w:num>
  <w:num w:numId="34">
    <w:abstractNumId w:val="5"/>
  </w:num>
  <w:num w:numId="35">
    <w:abstractNumId w:val="34"/>
  </w:num>
  <w:num w:numId="36">
    <w:abstractNumId w:val="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32"/>
    <w:rsid w:val="000016DC"/>
    <w:rsid w:val="00016569"/>
    <w:rsid w:val="00024D56"/>
    <w:rsid w:val="00054828"/>
    <w:rsid w:val="00056C80"/>
    <w:rsid w:val="00065DA8"/>
    <w:rsid w:val="000778AD"/>
    <w:rsid w:val="00091798"/>
    <w:rsid w:val="000A0C3F"/>
    <w:rsid w:val="000A34FE"/>
    <w:rsid w:val="000B7515"/>
    <w:rsid w:val="000C1173"/>
    <w:rsid w:val="000C1F01"/>
    <w:rsid w:val="000D3F83"/>
    <w:rsid w:val="000E3D09"/>
    <w:rsid w:val="000E5ADE"/>
    <w:rsid w:val="000E7CF9"/>
    <w:rsid w:val="000F4AA3"/>
    <w:rsid w:val="00106978"/>
    <w:rsid w:val="0014775A"/>
    <w:rsid w:val="0015003F"/>
    <w:rsid w:val="00151CE6"/>
    <w:rsid w:val="00151E76"/>
    <w:rsid w:val="001522B6"/>
    <w:rsid w:val="001560CF"/>
    <w:rsid w:val="0015713D"/>
    <w:rsid w:val="001608DB"/>
    <w:rsid w:val="001622DB"/>
    <w:rsid w:val="00171B42"/>
    <w:rsid w:val="00183E1F"/>
    <w:rsid w:val="00187975"/>
    <w:rsid w:val="001A2A5E"/>
    <w:rsid w:val="001A3BD4"/>
    <w:rsid w:val="001C01D7"/>
    <w:rsid w:val="001C1EBD"/>
    <w:rsid w:val="001C1F41"/>
    <w:rsid w:val="00212EB4"/>
    <w:rsid w:val="00216465"/>
    <w:rsid w:val="002239CE"/>
    <w:rsid w:val="002276E1"/>
    <w:rsid w:val="002503F0"/>
    <w:rsid w:val="0025429E"/>
    <w:rsid w:val="00257529"/>
    <w:rsid w:val="00257743"/>
    <w:rsid w:val="00260F6F"/>
    <w:rsid w:val="00290383"/>
    <w:rsid w:val="002F40CB"/>
    <w:rsid w:val="003428A4"/>
    <w:rsid w:val="00344349"/>
    <w:rsid w:val="0035407A"/>
    <w:rsid w:val="00354785"/>
    <w:rsid w:val="00354E1B"/>
    <w:rsid w:val="00360924"/>
    <w:rsid w:val="00371257"/>
    <w:rsid w:val="0038293C"/>
    <w:rsid w:val="00396657"/>
    <w:rsid w:val="003979DE"/>
    <w:rsid w:val="003A5047"/>
    <w:rsid w:val="003A6C2A"/>
    <w:rsid w:val="003B1F73"/>
    <w:rsid w:val="003B69BB"/>
    <w:rsid w:val="003C15D2"/>
    <w:rsid w:val="003C3853"/>
    <w:rsid w:val="003F3267"/>
    <w:rsid w:val="003F7194"/>
    <w:rsid w:val="0041615C"/>
    <w:rsid w:val="00426815"/>
    <w:rsid w:val="00442DBE"/>
    <w:rsid w:val="00443098"/>
    <w:rsid w:val="00453A78"/>
    <w:rsid w:val="00457142"/>
    <w:rsid w:val="0049073E"/>
    <w:rsid w:val="004961B6"/>
    <w:rsid w:val="00497B06"/>
    <w:rsid w:val="004A7336"/>
    <w:rsid w:val="004A748C"/>
    <w:rsid w:val="004C26DD"/>
    <w:rsid w:val="004E7668"/>
    <w:rsid w:val="004F33AF"/>
    <w:rsid w:val="0050763D"/>
    <w:rsid w:val="00573A56"/>
    <w:rsid w:val="00575D45"/>
    <w:rsid w:val="00591284"/>
    <w:rsid w:val="00594AC1"/>
    <w:rsid w:val="005A3BCB"/>
    <w:rsid w:val="005E4BC8"/>
    <w:rsid w:val="00601FD0"/>
    <w:rsid w:val="0061315F"/>
    <w:rsid w:val="006377F3"/>
    <w:rsid w:val="006407E5"/>
    <w:rsid w:val="00654A35"/>
    <w:rsid w:val="00661FAB"/>
    <w:rsid w:val="006912C2"/>
    <w:rsid w:val="006B4F56"/>
    <w:rsid w:val="006B57AB"/>
    <w:rsid w:val="006C3AF9"/>
    <w:rsid w:val="006C67DE"/>
    <w:rsid w:val="006D7A7D"/>
    <w:rsid w:val="007243C1"/>
    <w:rsid w:val="00750046"/>
    <w:rsid w:val="0075354D"/>
    <w:rsid w:val="007665A6"/>
    <w:rsid w:val="00775226"/>
    <w:rsid w:val="00791896"/>
    <w:rsid w:val="007954AF"/>
    <w:rsid w:val="007B6696"/>
    <w:rsid w:val="007E08C6"/>
    <w:rsid w:val="007E3E63"/>
    <w:rsid w:val="007E5F38"/>
    <w:rsid w:val="007F3FBE"/>
    <w:rsid w:val="008027AD"/>
    <w:rsid w:val="00806982"/>
    <w:rsid w:val="008170A5"/>
    <w:rsid w:val="00833279"/>
    <w:rsid w:val="00867220"/>
    <w:rsid w:val="00872E3F"/>
    <w:rsid w:val="008B7908"/>
    <w:rsid w:val="008D4C26"/>
    <w:rsid w:val="008E7D7D"/>
    <w:rsid w:val="009109A0"/>
    <w:rsid w:val="00911A53"/>
    <w:rsid w:val="00937CD9"/>
    <w:rsid w:val="009402BF"/>
    <w:rsid w:val="00964760"/>
    <w:rsid w:val="009A10D8"/>
    <w:rsid w:val="009B1D5F"/>
    <w:rsid w:val="009B261A"/>
    <w:rsid w:val="009D3933"/>
    <w:rsid w:val="009E0E50"/>
    <w:rsid w:val="009E293E"/>
    <w:rsid w:val="00A05EFE"/>
    <w:rsid w:val="00A0784F"/>
    <w:rsid w:val="00A20D0D"/>
    <w:rsid w:val="00A80D76"/>
    <w:rsid w:val="00AA4F76"/>
    <w:rsid w:val="00AE2F73"/>
    <w:rsid w:val="00AF6BDE"/>
    <w:rsid w:val="00B0774A"/>
    <w:rsid w:val="00B10E36"/>
    <w:rsid w:val="00B15F15"/>
    <w:rsid w:val="00B30F24"/>
    <w:rsid w:val="00B40884"/>
    <w:rsid w:val="00B50F58"/>
    <w:rsid w:val="00B75E36"/>
    <w:rsid w:val="00B8159D"/>
    <w:rsid w:val="00B94173"/>
    <w:rsid w:val="00BA7720"/>
    <w:rsid w:val="00BB4BD4"/>
    <w:rsid w:val="00BB7226"/>
    <w:rsid w:val="00BB7774"/>
    <w:rsid w:val="00BD0579"/>
    <w:rsid w:val="00BE46AD"/>
    <w:rsid w:val="00BE5F3A"/>
    <w:rsid w:val="00BF3B23"/>
    <w:rsid w:val="00C00F95"/>
    <w:rsid w:val="00C02F60"/>
    <w:rsid w:val="00C54AA0"/>
    <w:rsid w:val="00C56F6E"/>
    <w:rsid w:val="00C74032"/>
    <w:rsid w:val="00C80FEF"/>
    <w:rsid w:val="00CA51DE"/>
    <w:rsid w:val="00CB3AD6"/>
    <w:rsid w:val="00CE5940"/>
    <w:rsid w:val="00CF2FA2"/>
    <w:rsid w:val="00CF4B0A"/>
    <w:rsid w:val="00D01A8A"/>
    <w:rsid w:val="00D20CE0"/>
    <w:rsid w:val="00D266F7"/>
    <w:rsid w:val="00D3276E"/>
    <w:rsid w:val="00D37DF1"/>
    <w:rsid w:val="00D54941"/>
    <w:rsid w:val="00D63CA6"/>
    <w:rsid w:val="00DA1671"/>
    <w:rsid w:val="00DA5FE9"/>
    <w:rsid w:val="00DB217B"/>
    <w:rsid w:val="00DD2D27"/>
    <w:rsid w:val="00DD34FE"/>
    <w:rsid w:val="00DE4CA0"/>
    <w:rsid w:val="00DF37C2"/>
    <w:rsid w:val="00E0795F"/>
    <w:rsid w:val="00E26058"/>
    <w:rsid w:val="00E33899"/>
    <w:rsid w:val="00E41A88"/>
    <w:rsid w:val="00E45377"/>
    <w:rsid w:val="00E65CBF"/>
    <w:rsid w:val="00E83246"/>
    <w:rsid w:val="00EB4A34"/>
    <w:rsid w:val="00ED0940"/>
    <w:rsid w:val="00EE0842"/>
    <w:rsid w:val="00EE200C"/>
    <w:rsid w:val="00EF1698"/>
    <w:rsid w:val="00F01D1B"/>
    <w:rsid w:val="00F06C8C"/>
    <w:rsid w:val="00F10345"/>
    <w:rsid w:val="00F17DEF"/>
    <w:rsid w:val="00F328C5"/>
    <w:rsid w:val="00F34543"/>
    <w:rsid w:val="00F37BAF"/>
    <w:rsid w:val="00F420C6"/>
    <w:rsid w:val="00F45FDC"/>
    <w:rsid w:val="00F62D7F"/>
    <w:rsid w:val="00F726A1"/>
    <w:rsid w:val="00F74596"/>
    <w:rsid w:val="00F748BE"/>
    <w:rsid w:val="00FA4E36"/>
    <w:rsid w:val="00FC0FD5"/>
    <w:rsid w:val="00FE6027"/>
    <w:rsid w:val="00FF6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1DB78"/>
  <w15:docId w15:val="{FB6DDFA2-55CA-4FEF-A34C-79C4399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884"/>
    <w:rPr>
      <w:sz w:val="16"/>
      <w:szCs w:val="16"/>
    </w:rPr>
  </w:style>
  <w:style w:type="paragraph" w:styleId="CommentText">
    <w:name w:val="annotation text"/>
    <w:basedOn w:val="Normal"/>
    <w:link w:val="CommentTextChar"/>
    <w:uiPriority w:val="99"/>
    <w:unhideWhenUsed/>
    <w:rsid w:val="00B40884"/>
    <w:pPr>
      <w:spacing w:line="240" w:lineRule="auto"/>
    </w:pPr>
    <w:rPr>
      <w:sz w:val="20"/>
      <w:szCs w:val="20"/>
    </w:rPr>
  </w:style>
  <w:style w:type="character" w:customStyle="1" w:styleId="CommentTextChar">
    <w:name w:val="Comment Text Char"/>
    <w:basedOn w:val="DefaultParagraphFont"/>
    <w:link w:val="CommentText"/>
    <w:uiPriority w:val="99"/>
    <w:rsid w:val="00B40884"/>
    <w:rPr>
      <w:sz w:val="20"/>
      <w:szCs w:val="20"/>
    </w:rPr>
  </w:style>
  <w:style w:type="paragraph" w:styleId="CommentSubject">
    <w:name w:val="annotation subject"/>
    <w:basedOn w:val="CommentText"/>
    <w:next w:val="CommentText"/>
    <w:link w:val="CommentSubjectChar"/>
    <w:uiPriority w:val="99"/>
    <w:semiHidden/>
    <w:unhideWhenUsed/>
    <w:rsid w:val="00B40884"/>
    <w:rPr>
      <w:b/>
      <w:bCs/>
    </w:rPr>
  </w:style>
  <w:style w:type="character" w:customStyle="1" w:styleId="CommentSubjectChar">
    <w:name w:val="Comment Subject Char"/>
    <w:basedOn w:val="CommentTextChar"/>
    <w:link w:val="CommentSubject"/>
    <w:uiPriority w:val="99"/>
    <w:semiHidden/>
    <w:rsid w:val="00B40884"/>
    <w:rPr>
      <w:b/>
      <w:bCs/>
      <w:sz w:val="20"/>
      <w:szCs w:val="20"/>
    </w:rPr>
  </w:style>
  <w:style w:type="paragraph" w:styleId="BalloonText">
    <w:name w:val="Balloon Text"/>
    <w:basedOn w:val="Normal"/>
    <w:link w:val="BalloonTextChar"/>
    <w:uiPriority w:val="99"/>
    <w:semiHidden/>
    <w:unhideWhenUsed/>
    <w:rsid w:val="00B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84"/>
    <w:rPr>
      <w:rFonts w:ascii="Tahoma" w:hAnsi="Tahoma" w:cs="Tahoma"/>
      <w:sz w:val="16"/>
      <w:szCs w:val="16"/>
    </w:rPr>
  </w:style>
  <w:style w:type="paragraph" w:styleId="NoSpacing">
    <w:name w:val="No Spacing"/>
    <w:uiPriority w:val="1"/>
    <w:qFormat/>
    <w:rsid w:val="00091798"/>
    <w:pPr>
      <w:spacing w:after="0" w:line="240" w:lineRule="auto"/>
    </w:pPr>
    <w:rPr>
      <w:rFonts w:eastAsiaTheme="minorEastAsia"/>
      <w:lang w:val="en-US" w:eastAsia="ja-JP"/>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Ca,n"/>
    <w:basedOn w:val="Normal"/>
    <w:link w:val="FootnoteTextChar"/>
    <w:uiPriority w:val="99"/>
    <w:unhideWhenUsed/>
    <w:qFormat/>
    <w:rsid w:val="008B7908"/>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n Char"/>
    <w:basedOn w:val="DefaultParagraphFont"/>
    <w:link w:val="FootnoteText"/>
    <w:uiPriority w:val="99"/>
    <w:rsid w:val="008B7908"/>
    <w:rPr>
      <w:sz w:val="20"/>
      <w:szCs w:val="20"/>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Footnote symbol"/>
    <w:basedOn w:val="DefaultParagraphFont"/>
    <w:link w:val="BVIfnrCarCarCarCar1"/>
    <w:uiPriority w:val="99"/>
    <w:unhideWhenUsed/>
    <w:qFormat/>
    <w:rsid w:val="008B7908"/>
    <w:rPr>
      <w:vertAlign w:val="superscript"/>
    </w:rPr>
  </w:style>
  <w:style w:type="paragraph" w:styleId="ListParagraph">
    <w:name w:val="List Paragraph"/>
    <w:aliases w:val="Bullet"/>
    <w:basedOn w:val="Normal"/>
    <w:uiPriority w:val="34"/>
    <w:qFormat/>
    <w:rsid w:val="000C1173"/>
    <w:pPr>
      <w:ind w:left="720"/>
      <w:contextualSpacing/>
    </w:pPr>
  </w:style>
  <w:style w:type="paragraph" w:styleId="Header">
    <w:name w:val="header"/>
    <w:basedOn w:val="Normal"/>
    <w:link w:val="HeaderChar"/>
    <w:uiPriority w:val="99"/>
    <w:unhideWhenUsed/>
    <w:rsid w:val="007665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5A6"/>
  </w:style>
  <w:style w:type="paragraph" w:styleId="Footer">
    <w:name w:val="footer"/>
    <w:basedOn w:val="Normal"/>
    <w:link w:val="FooterChar"/>
    <w:uiPriority w:val="99"/>
    <w:unhideWhenUsed/>
    <w:rsid w:val="007665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5A6"/>
  </w:style>
  <w:style w:type="character" w:styleId="PageNumber">
    <w:name w:val="page number"/>
    <w:basedOn w:val="DefaultParagraphFont"/>
    <w:uiPriority w:val="99"/>
    <w:semiHidden/>
    <w:unhideWhenUsed/>
    <w:rsid w:val="00F328C5"/>
  </w:style>
  <w:style w:type="character" w:styleId="Hyperlink">
    <w:name w:val="Hyperlink"/>
    <w:basedOn w:val="DefaultParagraphFont"/>
    <w:uiPriority w:val="99"/>
    <w:unhideWhenUsed/>
    <w:rsid w:val="00AE2F73"/>
    <w:rPr>
      <w:color w:val="0000FF" w:themeColor="hyperlink"/>
      <w:u w:val="single"/>
    </w:rPr>
  </w:style>
  <w:style w:type="character" w:styleId="FollowedHyperlink">
    <w:name w:val="FollowedHyperlink"/>
    <w:basedOn w:val="DefaultParagraphFont"/>
    <w:uiPriority w:val="99"/>
    <w:semiHidden/>
    <w:unhideWhenUsed/>
    <w:rsid w:val="00C54AA0"/>
    <w:rPr>
      <w:color w:val="800080" w:themeColor="followedHyperlink"/>
      <w:u w:val="single"/>
    </w:rPr>
  </w:style>
  <w:style w:type="paragraph" w:customStyle="1" w:styleId="BVIfnrCarCarCarCar1">
    <w:name w:val="BVI fnr Car Car Car Car1"/>
    <w:basedOn w:val="Normal"/>
    <w:link w:val="FootnoteReference"/>
    <w:uiPriority w:val="99"/>
    <w:rsid w:val="000E3D09"/>
    <w:pPr>
      <w:spacing w:before="120" w:after="160" w:line="240" w:lineRule="exact"/>
      <w:jc w:val="both"/>
    </w:pPr>
    <w:rPr>
      <w:shd w:val="clear" w:color="auto" w:fill="FFFF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2054">
      <w:bodyDiv w:val="1"/>
      <w:marLeft w:val="0"/>
      <w:marRight w:val="0"/>
      <w:marTop w:val="0"/>
      <w:marBottom w:val="0"/>
      <w:divBdr>
        <w:top w:val="none" w:sz="0" w:space="0" w:color="auto"/>
        <w:left w:val="none" w:sz="0" w:space="0" w:color="auto"/>
        <w:bottom w:val="none" w:sz="0" w:space="0" w:color="auto"/>
        <w:right w:val="none" w:sz="0" w:space="0" w:color="auto"/>
      </w:divBdr>
    </w:div>
    <w:div w:id="153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geing.at/en/downloads/downloads-day-2-en" TargetMode="External"/><Relationship Id="rId7" Type="http://schemas.openxmlformats.org/officeDocument/2006/relationships/hyperlink" Target="https://www.theguardian.com/education/2009/jun/09/backtoschool-accesstouniversity" TargetMode="External"/><Relationship Id="rId2" Type="http://schemas.openxmlformats.org/officeDocument/2006/relationships/hyperlink" Target="https://www.penalreform.org/blog/age-bars-prisons-adapt-increasingly-elderly-populations/" TargetMode="External"/><Relationship Id="rId1" Type="http://schemas.openxmlformats.org/officeDocument/2006/relationships/hyperlink" Target="mailto:bsleap@helpage.org" TargetMode="External"/><Relationship Id="rId6" Type="http://schemas.openxmlformats.org/officeDocument/2006/relationships/hyperlink" Target="http://www.ageing.at/en/downloads/downloads-day-2-en" TargetMode="External"/><Relationship Id="rId5" Type="http://schemas.openxmlformats.org/officeDocument/2006/relationships/hyperlink" Target="https://ageing-equal.org/ageism-in-lifelong-learning/" TargetMode="External"/><Relationship Id="rId4" Type="http://schemas.openxmlformats.org/officeDocument/2006/relationships/hyperlink" Target="http://www.lawfoundation.net.au/ljf/site/articleIDs/9D9D131462B745E0CA257060007D1408/$file/legal_info_need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47B3-3F40-4CC6-A767-3BE01954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5504</Characters>
  <Application>Microsoft Office Word</Application>
  <DocSecurity>0</DocSecurity>
  <Lines>45</Lines>
  <Paragraphs>12</Paragraphs>
  <ScaleCrop>false</ScaleCrop>
  <HeadingPairs>
    <vt:vector size="6" baseType="variant">
      <vt:variant>
        <vt:lpstr>Title</vt:lpstr>
      </vt:variant>
      <vt:variant>
        <vt:i4>1</vt:i4>
      </vt:variant>
      <vt:variant>
        <vt:lpstr>שם</vt:lpstr>
      </vt:variant>
      <vt:variant>
        <vt:i4>1</vt:i4>
      </vt:variant>
      <vt:variant>
        <vt:lpstr>Título</vt:lpstr>
      </vt:variant>
      <vt:variant>
        <vt:i4>1</vt:i4>
      </vt:variant>
    </vt:vector>
  </HeadingPairs>
  <TitlesOfParts>
    <vt:vector size="3" baseType="lpstr">
      <vt:lpstr/>
      <vt:lpstr/>
      <vt:lpstr/>
    </vt:vector>
  </TitlesOfParts>
  <Company>United Nations</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Lane</dc:creator>
  <cp:lastModifiedBy>Bridget Sleap</cp:lastModifiedBy>
  <cp:revision>4</cp:revision>
  <cp:lastPrinted>2018-02-09T08:49:00Z</cp:lastPrinted>
  <dcterms:created xsi:type="dcterms:W3CDTF">2019-02-01T10:24:00Z</dcterms:created>
  <dcterms:modified xsi:type="dcterms:W3CDTF">2019-02-01T10:31:00Z</dcterms:modified>
</cp:coreProperties>
</file>